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14:paraId="28CED2FA" w14:textId="77777777">
        <w:tblPrEx>
          <w:tblCellMar>
            <w:top w:w="0" w:type="dxa"/>
            <w:bottom w:w="0" w:type="dxa"/>
          </w:tblCellMar>
        </w:tblPrEx>
        <w:trPr>
          <w:cantSplit/>
        </w:trPr>
        <w:tc>
          <w:tcPr>
            <w:tcW w:w="10080" w:type="dxa"/>
            <w:tcBorders>
              <w:top w:val="none" w:sz="0" w:space="0" w:color="FFFFFF"/>
              <w:left w:val="none" w:sz="0" w:space="0" w:color="FFFFFF"/>
              <w:bottom w:val="none" w:sz="0" w:space="0" w:color="FFFFFF"/>
              <w:right w:val="none" w:sz="0" w:space="0" w:color="FFFFFF"/>
            </w:tcBorders>
            <w:shd w:val="clear" w:color="auto" w:fill="1E2761"/>
            <w:tcMar>
              <w:top w:w="280" w:type="dxa"/>
              <w:left w:w="360" w:type="dxa"/>
              <w:bottom w:w="200" w:type="dxa"/>
              <w:right w:w="360" w:type="dxa"/>
            </w:tcMar>
          </w:tcPr>
          <w:p w14:paraId="28CED2F7" w14:textId="77777777">
            <w:pPr>
              <w:spacing w:after="60"/>
              <w:jc w:val="center"/>
            </w:pPr>
            <w:r>
              <w:rPr>
                <w:b/>
                <w:bCs/>
                <w:color w:val="C9A84C"/>
                <w:spacing w:val="60"/>
                <w:sz w:val="20"/>
                <w:szCs w:val="20"/>
              </w:rPr>
              <w:t>APEX TECHNOLOGY CORPORATION</w:t>
            </w:r>
          </w:p>
          <w:p w14:paraId="28CED2F8" w14:textId="77777777">
            <w:pPr>
              <w:spacing w:after="60"/>
              <w:jc w:val="center"/>
            </w:pPr>
            <w:r>
              <w:rPr>
                <w:rFonts w:ascii="Georgia" w:eastAsia="Georgia" w:hAnsi="Georgia" w:cs="Georgia"/>
                <w:b/>
                <w:bCs/>
                <w:color w:val="FFFFFF"/>
                <w:sz w:val="40"/>
                <w:szCs w:val="40"/>
              </w:rPr>
              <w:t>IPO Valuation &amp; Financial Ratio Analysis</w:t>
            </w:r>
          </w:p>
          <w:p w14:paraId="28CED2F9" w14:textId="77777777">
            <w:pPr>
              <w:spacing w:before="60" w:after="80"/>
              <w:jc w:val="center"/>
            </w:pPr>
            <w:r>
              <w:rPr>
                <w:color w:val="CADCFC"/>
              </w:rPr>
              <w:t xml:space="preserve">Student Assignment Guide — BUS 311 Corporate </w:t>
            </w:r>
            <w:proofErr w:type="gramStart"/>
            <w:r>
              <w:rPr>
                <w:color w:val="CADCFC"/>
              </w:rPr>
              <w:t>Finance  |</w:t>
            </w:r>
            <w:proofErr w:type="gramEnd"/>
            <w:r>
              <w:rPr>
                <w:color w:val="CADCFC"/>
              </w:rPr>
              <w:t xml:space="preserve">  Chapter 7</w:t>
            </w:r>
          </w:p>
        </w:tc>
      </w:tr>
    </w:tbl>
    <w:p w14:paraId="28CED2FB" w14:textId="7777777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0"/>
      </w:tblGrid>
      <w:tr w14:paraId="28CED309" w14:textId="77777777">
        <w:tblPrEx>
          <w:tblCellMar>
            <w:top w:w="0" w:type="dxa"/>
            <w:bottom w:w="0" w:type="dxa"/>
          </w:tblCellMar>
        </w:tblPrEx>
        <w:trPr>
          <w:cantSplit/>
        </w:trPr>
        <w:tc>
          <w:tcPr>
            <w:tcW w:w="9360" w:type="dxa"/>
            <w:tcBorders>
              <w:top w:val="single" w:sz="4" w:space="0" w:color="CADCFC"/>
              <w:left w:val="single" w:sz="4" w:space="0" w:color="CADCFC"/>
              <w:bottom w:val="single" w:sz="4" w:space="0" w:color="CADCFC"/>
              <w:right w:val="single" w:sz="4" w:space="0" w:color="CADCFC"/>
            </w:tcBorders>
            <w:shd w:val="clear" w:color="auto" w:fill="F4F6FB"/>
            <w:tcMar>
              <w:top w:w="160" w:type="dxa"/>
              <w:left w:w="200" w:type="dxa"/>
              <w:bottom w:w="160" w:type="dxa"/>
              <w:right w:w="200" w:type="dxa"/>
            </w:tcMar>
          </w:tcPr>
          <w:p w14:paraId="28CED2FC" w14:textId="77777777">
            <w:pPr>
              <w:spacing w:after="80"/>
            </w:pPr>
            <w:r>
              <w:rPr>
                <w:rFonts w:ascii="Georgia" w:eastAsia="Georgia" w:hAnsi="Georgia" w:cs="Georgia"/>
                <w:b/>
                <w:bCs/>
                <w:color w:val="1E2761"/>
                <w:sz w:val="26"/>
                <w:szCs w:val="26"/>
              </w:rPr>
              <w:t>Assignment Overview</w:t>
            </w:r>
          </w:p>
          <w:p w14:paraId="28CED2FD" w14:textId="77777777">
            <w:pPr>
              <w:spacing w:before="60" w:after="60"/>
            </w:pPr>
            <w:r>
              <w:rPr>
                <w:color w:val="1E293B"/>
              </w:rPr>
              <w:t>In this assignment, you will step into the role of a junior financial analyst advising Apex Technology Corporation as it prepares for a $400 million initial public offering (IPO). You will build equity valuation models, calculate key financial ratios, and analyze how three different strategies for deploying IPO proceeds affect the company's financial profile.</w:t>
            </w:r>
          </w:p>
          <w:p w14:paraId="28CED2FE" w14:textId="77777777">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14:paraId="28CED307" w14:textId="77777777">
              <w:tblPrEx>
                <w:tblCellMar>
                  <w:top w:w="0" w:type="dxa"/>
                  <w:bottom w:w="0" w:type="dxa"/>
                </w:tblCellMar>
              </w:tblPrEx>
              <w:trPr>
                <w:cantSplit/>
              </w:trPr>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2FF" w14:textId="77777777">
                  <w:pPr>
                    <w:spacing w:after="40"/>
                    <w:jc w:val="center"/>
                  </w:pPr>
                  <w:r>
                    <w:rPr>
                      <w:b/>
                      <w:bCs/>
                      <w:color w:val="C9A84C"/>
                      <w:sz w:val="24"/>
                      <w:szCs w:val="24"/>
                    </w:rPr>
                    <w:t>⏱</w:t>
                  </w:r>
                  <w:r>
                    <w:rPr>
                      <w:b/>
                      <w:bCs/>
                      <w:color w:val="C9A84C"/>
                      <w:sz w:val="24"/>
                      <w:szCs w:val="24"/>
                    </w:rPr>
                    <w:t xml:space="preserve"> 30–35 min</w:t>
                  </w:r>
                </w:p>
                <w:p w14:paraId="28CED300" w14:textId="77777777">
                  <w:pPr>
                    <w:jc w:val="center"/>
                  </w:pPr>
                  <w:r>
                    <w:rPr>
                      <w:color w:val="CADCFC"/>
                      <w:sz w:val="18"/>
                      <w:szCs w:val="18"/>
                    </w:rPr>
                    <w:t>In-class activity</w:t>
                  </w:r>
                </w:p>
              </w:tc>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1" w14:textId="77777777">
                  <w:pPr>
                    <w:spacing w:after="40"/>
                    <w:jc w:val="center"/>
                  </w:pPr>
                  <w:r>
                    <w:rPr>
                      <w:b/>
                      <w:bCs/>
                      <w:color w:val="C9A84C"/>
                      <w:sz w:val="24"/>
                      <w:szCs w:val="24"/>
                    </w:rPr>
                    <w:t>👥</w:t>
                  </w:r>
                  <w:r>
                    <w:rPr>
                      <w:b/>
                      <w:bCs/>
                      <w:color w:val="C9A84C"/>
                      <w:sz w:val="24"/>
                      <w:szCs w:val="24"/>
                    </w:rPr>
                    <w:t xml:space="preserve"> Pairs OK</w:t>
                  </w:r>
                </w:p>
                <w:p w14:paraId="28CED302" w14:textId="77777777">
                  <w:pPr>
                    <w:jc w:val="center"/>
                  </w:pPr>
                  <w:r>
                    <w:rPr>
                      <w:color w:val="CADCFC"/>
                      <w:sz w:val="18"/>
                      <w:szCs w:val="18"/>
                    </w:rPr>
                    <w:t>Work with a partner</w:t>
                  </w:r>
                </w:p>
              </w:tc>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3" w14:textId="77777777">
                  <w:pPr>
                    <w:spacing w:after="40"/>
                    <w:jc w:val="center"/>
                  </w:pPr>
                  <w:r>
                    <w:rPr>
                      <w:b/>
                      <w:bCs/>
                      <w:color w:val="C9A84C"/>
                      <w:sz w:val="24"/>
                      <w:szCs w:val="24"/>
                    </w:rPr>
                    <w:t>📊</w:t>
                  </w:r>
                  <w:r>
                    <w:rPr>
                      <w:b/>
                      <w:bCs/>
                      <w:color w:val="C9A84C"/>
                      <w:sz w:val="24"/>
                      <w:szCs w:val="24"/>
                    </w:rPr>
                    <w:t xml:space="preserve"> Excel</w:t>
                  </w:r>
                </w:p>
                <w:p w14:paraId="28CED304" w14:textId="77777777">
                  <w:pPr>
                    <w:jc w:val="center"/>
                  </w:pPr>
                  <w:r>
                    <w:rPr>
                      <w:color w:val="CADCFC"/>
                      <w:sz w:val="18"/>
                      <w:szCs w:val="18"/>
                    </w:rPr>
                    <w:t>Required throughout</w:t>
                  </w:r>
                </w:p>
              </w:tc>
              <w:tc>
                <w:tcPr>
                  <w:tcW w:w="24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05" w14:textId="77777777">
                  <w:pPr>
                    <w:spacing w:after="40"/>
                    <w:jc w:val="center"/>
                  </w:pPr>
                  <w:r>
                    <w:rPr>
                      <w:b/>
                      <w:bCs/>
                      <w:color w:val="C9A84C"/>
                      <w:sz w:val="24"/>
                      <w:szCs w:val="24"/>
                    </w:rPr>
                    <w:t>📤</w:t>
                  </w:r>
                  <w:r>
                    <w:rPr>
                      <w:b/>
                      <w:bCs/>
                      <w:color w:val="C9A84C"/>
                      <w:sz w:val="24"/>
                      <w:szCs w:val="24"/>
                    </w:rPr>
                    <w:t xml:space="preserve"> Submit</w:t>
                  </w:r>
                </w:p>
                <w:p w14:paraId="28CED306" w14:textId="5CDBE071">
                  <w:pPr>
                    <w:jc w:val="center"/>
                  </w:pPr>
                  <w:r>
                    <w:rPr>
                      <w:color w:val="CADCFC"/>
                      <w:sz w:val="18"/>
                      <w:szCs w:val="18"/>
                    </w:rPr>
                    <w:t>Canvas</w:t>
                  </w:r>
                </w:p>
              </w:tc>
            </w:tr>
          </w:tbl>
          <w:p w14:paraId="28CED308" w14:textId="77777777"/>
        </w:tc>
      </w:tr>
    </w:tbl>
    <w:p w14:paraId="28CED30A" w14:textId="77777777">
      <w:pPr>
        <w:spacing w:before="160"/>
      </w:pPr>
    </w:p>
    <w:p w14:paraId="28CED30B" w14:textId="77777777">
      <w:pPr>
        <w:pBdr>
          <w:bottom w:val="single" w:sz="6" w:space="4" w:color="C9A84C"/>
        </w:pBdr>
        <w:spacing w:before="300" w:after="120"/>
      </w:pPr>
      <w:r>
        <w:rPr>
          <w:rFonts w:ascii="Georgia" w:eastAsia="Georgia" w:hAnsi="Georgia" w:cs="Georgia"/>
          <w:b/>
          <w:bCs/>
          <w:color w:val="1E2761"/>
          <w:sz w:val="28"/>
          <w:szCs w:val="28"/>
        </w:rPr>
        <w:t>Section 1 — Learning Objectives</w:t>
      </w:r>
    </w:p>
    <w:p w14:paraId="28CED30C" w14:textId="77777777">
      <w:pPr>
        <w:spacing w:before="60"/>
      </w:pPr>
    </w:p>
    <w:p w14:paraId="28CED30D" w14:textId="77777777">
      <w:pPr>
        <w:spacing w:before="60" w:after="60"/>
      </w:pPr>
      <w:r>
        <w:rPr>
          <w:color w:val="1E293B"/>
        </w:rPr>
        <w:t>By completing this assignment, you will be able to:</w:t>
      </w:r>
    </w:p>
    <w:p w14:paraId="28CED30E" w14:textId="77777777">
      <w:pPr>
        <w:spacing w:before="40"/>
      </w:pPr>
    </w:p>
    <w:p w14:paraId="28CED30F" w14:textId="77777777">
      <w:pPr>
        <w:pStyle w:val="ListParagraph"/>
        <w:numPr>
          <w:ilvl w:val="0"/>
          <w:numId w:val="2"/>
        </w:numPr>
        <w:spacing w:before="40" w:after="40"/>
      </w:pPr>
      <w:r>
        <w:rPr>
          <w:color w:val="1E293B"/>
        </w:rPr>
        <w:t>Value a stock using the Dividend Discount Model (Gordon Growth Model) and interpret the result</w:t>
      </w:r>
    </w:p>
    <w:p w14:paraId="28CED310" w14:textId="77777777">
      <w:pPr>
        <w:pStyle w:val="ListParagraph"/>
        <w:numPr>
          <w:ilvl w:val="0"/>
          <w:numId w:val="2"/>
        </w:numPr>
        <w:spacing w:before="40" w:after="40"/>
      </w:pPr>
      <w:r>
        <w:rPr>
          <w:color w:val="1E293B"/>
        </w:rPr>
        <w:t>Apply the Free Cash Flow (FCF) model to estimate enterprise value and share price</w:t>
      </w:r>
    </w:p>
    <w:p w14:paraId="28CED311" w14:textId="77777777">
      <w:pPr>
        <w:pStyle w:val="ListParagraph"/>
        <w:numPr>
          <w:ilvl w:val="0"/>
          <w:numId w:val="2"/>
        </w:numPr>
        <w:spacing w:before="40" w:after="40"/>
      </w:pPr>
      <w:r>
        <w:rPr>
          <w:color w:val="1E293B"/>
        </w:rPr>
        <w:t>Audit seven financial ratios plus EPS and book value per share using explicit numerator and denominator definitions</w:t>
      </w:r>
    </w:p>
    <w:p w14:paraId="28CED312" w14:textId="77777777">
      <w:pPr>
        <w:pStyle w:val="ListParagraph"/>
        <w:numPr>
          <w:ilvl w:val="0"/>
          <w:numId w:val="2"/>
        </w:numPr>
        <w:spacing w:before="40" w:after="40"/>
      </w:pPr>
      <w:r>
        <w:rPr>
          <w:color w:val="1E293B"/>
        </w:rPr>
        <w:t>Build and reconcile IPO sources and uses, post-transaction balance sheets, capital structure, and per-share effects</w:t>
      </w:r>
    </w:p>
    <w:p w14:paraId="28CED313" w14:textId="52D3C054">
      <w:pPr>
        <w:pStyle w:val="ListParagraph"/>
        <w:numPr>
          <w:ilvl w:val="0"/>
          <w:numId w:val="2"/>
        </w:numPr>
        <w:spacing w:before="40" w:after="40"/>
      </w:pPr>
      <w:r>
        <w:rPr>
          <w:color w:val="1E293B"/>
        </w:rPr>
        <w:t>Compare three proceeds-deployment scenarios and defend an offer-price and deployment recommendation</w:t>
      </w:r>
      <w:r>
        <w:rPr>
          <w:color w:val="1E293B"/>
        </w:rPr>
      </w:r>
      <w:r>
        <w:rPr>
          <w:color w:val="1E293B"/>
        </w:rPr>
      </w:r>
      <w:r>
        <w:rPr>
          <w:color w:val="1E293B"/>
        </w:rPr>
      </w:r>
      <w:r>
        <w:rPr>
          <w:color w:val="1E293B"/>
        </w:rPr>
      </w:r>
      <w:r>
        <w:rPr>
          <w:color w:val="1E293B"/>
        </w:rPr>
      </w:r>
    </w:p>
    <w:p w14:paraId="28CED314" w14:textId="77777777">
      <w:pPr>
        <w:spacing w:before="160"/>
      </w:pPr>
    </w:p>
    <w:p w14:paraId="28CED315" w14:textId="77777777">
      <w:pPr>
        <w:pBdr>
          <w:bottom w:val="single" w:sz="6" w:space="4" w:color="C9A84C"/>
        </w:pBdr>
        <w:spacing w:before="300" w:after="120"/>
      </w:pPr>
      <w:r>
        <w:rPr>
          <w:rFonts w:ascii="Georgia" w:eastAsia="Georgia" w:hAnsi="Georgia" w:cs="Georgia"/>
          <w:b/>
          <w:bCs/>
          <w:color w:val="1E2761"/>
          <w:sz w:val="28"/>
          <w:szCs w:val="28"/>
        </w:rPr>
        <w:t>Section 2 — The Company &amp; IPO Scenario</w:t>
      </w:r>
    </w:p>
    <w:p w14:paraId="28CED316"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3"/>
        <w:gridCol w:w="3817"/>
      </w:tblGrid>
      <w:tr w14:paraId="28CED318" w14:textId="77777777">
        <w:tblPrEx>
          <w:tblCellMar>
            <w:top w:w="0" w:type="dxa"/>
            <w:bottom w:w="0" w:type="dxa"/>
          </w:tblCellMar>
        </w:tblPrEx>
        <w:trPr>
          <w:gridAfter w:val="1"/>
          <w:wAfter w:w="360" w:type="dxa"/>
          <w:cantSplit/>
        </w:trPr>
        <w:tc>
          <w:tcPr>
            <w:tcW w:w="9360" w:type="dxa"/>
            <w:tcBorders>
              <w:top w:val="single" w:sz="4" w:space="0" w:color="C9A84C"/>
              <w:left w:val="single" w:sz="4" w:space="0" w:color="C9A84C"/>
              <w:bottom w:val="single" w:sz="4" w:space="0" w:color="C9A84C"/>
              <w:right w:val="single" w:sz="4" w:space="0" w:color="C9A84C"/>
            </w:tcBorders>
            <w:shd w:val="clear" w:color="auto" w:fill="1E2761"/>
            <w:tcMar>
              <w:top w:w="120" w:type="dxa"/>
              <w:left w:w="200" w:type="dxa"/>
              <w:bottom w:w="80" w:type="dxa"/>
              <w:right w:w="200" w:type="dxa"/>
            </w:tcMar>
          </w:tcPr>
          <w:p w14:paraId="28CED317" w14:textId="77777777">
            <w:r>
              <w:rPr>
                <w:rFonts w:ascii="Georgia" w:eastAsia="Georgia" w:hAnsi="Georgia" w:cs="Georgia"/>
                <w:b/>
                <w:bCs/>
                <w:color w:val="C9A84C"/>
                <w:sz w:val="24"/>
                <w:szCs w:val="24"/>
              </w:rPr>
              <w:t>Company Snapshot: Apex Technology Corporation</w:t>
            </w:r>
          </w:p>
        </w:tc>
      </w:tr>
      <w:tr w14:paraId="28CED31B"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19" w14:textId="77777777">
            <w:r>
              <w:rPr>
                <w:b/>
                <w:bCs/>
                <w:color w:val="1E2761"/>
                <w:sz w:val="21"/>
                <w:szCs w:val="21"/>
              </w:rPr>
              <w:t>Industry</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1A" w14:textId="77777777">
            <w:r>
              <w:rPr>
                <w:color w:val="1E293B"/>
                <w:sz w:val="21"/>
                <w:szCs w:val="21"/>
              </w:rPr>
              <w:t>Enterprise software &amp; SaaS platforms</w:t>
            </w:r>
          </w:p>
        </w:tc>
      </w:tr>
      <w:tr w14:paraId="28CED31E"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1C" w14:textId="77777777">
            <w:r>
              <w:rPr>
                <w:b/>
                <w:bCs/>
                <w:color w:val="1E2761"/>
                <w:sz w:val="21"/>
                <w:szCs w:val="21"/>
              </w:rPr>
              <w:t>Pre-IPO Status</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1D" w14:textId="77777777">
            <w:r>
              <w:rPr>
                <w:color w:val="1E293B"/>
                <w:sz w:val="21"/>
                <w:szCs w:val="21"/>
              </w:rPr>
              <w:t>Privately held; backed by venture capital and private equity</w:t>
            </w:r>
          </w:p>
        </w:tc>
      </w:tr>
      <w:tr w14:paraId="28CED321"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1F" w14:textId="77777777">
            <w:r>
              <w:rPr>
                <w:b/>
                <w:bCs/>
                <w:color w:val="1E2761"/>
                <w:sz w:val="21"/>
                <w:szCs w:val="21"/>
              </w:rPr>
              <w:t>Annual Revenue</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0" w14:textId="77777777">
            <w:r>
              <w:rPr>
                <w:color w:val="1E293B"/>
                <w:sz w:val="21"/>
                <w:szCs w:val="21"/>
              </w:rPr>
              <w:t>$850 million (fiscal year ended December 31)</w:t>
            </w:r>
          </w:p>
        </w:tc>
      </w:tr>
      <w:tr w14:paraId="28CED324"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2" w14:textId="77777777">
            <w:r>
              <w:rPr>
                <w:b/>
                <w:bCs/>
                <w:color w:val="1E2761"/>
                <w:sz w:val="21"/>
                <w:szCs w:val="21"/>
              </w:rPr>
              <w:t>Net Income</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3" w14:textId="77777777">
            <w:r>
              <w:rPr>
                <w:color w:val="1E293B"/>
                <w:sz w:val="21"/>
                <w:szCs w:val="21"/>
              </w:rPr>
              <w:t>$164.25 million</w:t>
            </w:r>
          </w:p>
        </w:tc>
      </w:tr>
      <w:tr w14:paraId="28CED327"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25" w14:textId="77777777">
            <w:r>
              <w:rPr>
                <w:b/>
                <w:bCs/>
                <w:color w:val="1E2761"/>
                <w:sz w:val="21"/>
                <w:szCs w:val="21"/>
              </w:rPr>
              <w:lastRenderedPageBreak/>
              <w:t>Pre-IPO Total Debt</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6" w14:textId="77777777">
            <w:r>
              <w:rPr>
                <w:color w:val="1E293B"/>
                <w:sz w:val="21"/>
                <w:szCs w:val="21"/>
              </w:rPr>
              <w:t>$300 million (short-term: $60M + long-term: $240M)</w:t>
            </w:r>
          </w:p>
        </w:tc>
      </w:tr>
      <w:tr w14:paraId="28CED32A"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8" w14:textId="77777777">
            <w:r>
              <w:rPr>
                <w:b/>
                <w:bCs/>
                <w:color w:val="1E2761"/>
                <w:sz w:val="21"/>
                <w:szCs w:val="21"/>
              </w:rPr>
              <w:t>Shareholders' Equity (Pre-IPO)</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9" w14:textId="77777777">
            <w:r>
              <w:rPr>
                <w:color w:val="1E293B"/>
                <w:sz w:val="21"/>
                <w:szCs w:val="21"/>
              </w:rPr>
              <w:t>$245 million (book value; Total Assets $630M – Total Liabilities $385M)</w:t>
            </w:r>
          </w:p>
        </w:tc>
      </w:tr>
      <w:tr w14:paraId="28CED32D"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2B" w14:textId="77777777">
            <w:r>
              <w:rPr>
                <w:b/>
                <w:bCs/>
                <w:color w:val="1E2761"/>
                <w:sz w:val="21"/>
                <w:szCs w:val="21"/>
              </w:rPr>
              <w:t>IPO Size</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C" w14:textId="77777777">
            <w:r>
              <w:rPr>
                <w:color w:val="1E293B"/>
                <w:sz w:val="21"/>
                <w:szCs w:val="21"/>
              </w:rPr>
              <w:t>$400 million in new equity proceeds</w:t>
            </w:r>
          </w:p>
        </w:tc>
      </w:tr>
      <w:tr w14:paraId="28CED330"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2E" w14:textId="77777777">
            <w:r>
              <w:rPr>
                <w:b/>
                <w:bCs/>
                <w:color w:val="1E2761"/>
                <w:sz w:val="21"/>
                <w:szCs w:val="21"/>
              </w:rPr>
              <w:t>New Shares Issued</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2F" w14:textId="77777777">
            <w:r>
              <w:rPr>
                <w:color w:val="1E293B"/>
                <w:sz w:val="21"/>
                <w:szCs w:val="21"/>
              </w:rPr>
              <w:t>20 million shares at $20.00 per share</w:t>
            </w:r>
          </w:p>
        </w:tc>
      </w:tr>
      <w:tr w14:paraId="28CED333"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31" w14:textId="77777777">
            <w:r>
              <w:rPr>
                <w:b/>
                <w:bCs/>
                <w:color w:val="1E2761"/>
                <w:sz w:val="21"/>
                <w:szCs w:val="21"/>
              </w:rPr>
              <w:t>Pre-IPO Shares Outstanding</w:t>
            </w:r>
          </w:p>
        </w:tc>
        <w:tc>
          <w:tcPr>
            <w:tcW w:w="66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32" w14:textId="77777777">
            <w:r>
              <w:rPr>
                <w:color w:val="1E293B"/>
                <w:sz w:val="21"/>
                <w:szCs w:val="21"/>
              </w:rPr>
              <w:t>50 million shares</w:t>
            </w:r>
          </w:p>
        </w:tc>
      </w:tr>
      <w:tr w14:paraId="28CED336" w14:textId="77777777">
        <w:tblPrEx>
          <w:tblCellMar>
            <w:top w:w="0" w:type="dxa"/>
            <w:bottom w:w="0" w:type="dxa"/>
          </w:tblCellMar>
        </w:tblPrEx>
        <w:trPr>
          <w:cantSplit/>
        </w:trPr>
        <w:tc>
          <w:tcPr>
            <w:tcW w:w="27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34" w14:textId="77777777">
            <w:r>
              <w:rPr>
                <w:b/>
                <w:bCs/>
                <w:color w:val="1E2761"/>
                <w:sz w:val="21"/>
                <w:szCs w:val="21"/>
              </w:rPr>
              <w:t>Post-IPO Total Shares</w:t>
            </w:r>
          </w:p>
        </w:tc>
        <w:tc>
          <w:tcPr>
            <w:tcW w:w="66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35" w14:textId="77777777">
            <w:r>
              <w:rPr>
                <w:color w:val="1E293B"/>
                <w:sz w:val="21"/>
                <w:szCs w:val="21"/>
              </w:rPr>
              <w:t>70 million shares</w:t>
            </w:r>
          </w:p>
        </w:tc>
      </w:tr>
    </w:tbl>
    <w:p w14:paraId="28CED337" w14:textId="777777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33A" w14:textId="77777777">
        <w:tblPrEx>
          <w:tblCellMar>
            <w:top w:w="0" w:type="dxa"/>
            <w:bottom w:w="0" w:type="dxa"/>
          </w:tblCellMar>
        </w:tblPrEx>
        <w:trPr>
          <w:cantSplit/>
        </w:trPr>
        <w:tc>
          <w:tcPr>
            <w:tcW w:w="9360" w:type="dxa"/>
            <w:tcBorders>
              <w:top w:val="single" w:sz="4" w:space="0" w:color="CADCFC"/>
              <w:left w:val="single" w:sz="4" w:space="0" w:color="CADCFC"/>
              <w:bottom w:val="single" w:sz="4" w:space="0" w:color="CADCFC"/>
              <w:right w:val="single" w:sz="4" w:space="0" w:color="CADCFC"/>
            </w:tcBorders>
            <w:shd w:val="clear" w:color="auto" w:fill="EFF6FF"/>
            <w:tcMar>
              <w:top w:w="160" w:type="dxa"/>
              <w:left w:w="200" w:type="dxa"/>
              <w:bottom w:w="160" w:type="dxa"/>
              <w:right w:w="200" w:type="dxa"/>
            </w:tcMar>
          </w:tcPr>
          <w:p w14:paraId="28CED338" w14:textId="77777777">
            <w:pPr>
              <w:spacing w:after="60"/>
            </w:pPr>
            <w:r>
              <w:rPr>
                <w:rFonts w:ascii="Georgia" w:eastAsia="Georgia" w:hAnsi="Georgia" w:cs="Georgia"/>
                <w:b/>
                <w:bCs/>
                <w:color w:val="1E2761"/>
              </w:rPr>
              <w:t>The IPO Decision</w:t>
            </w:r>
          </w:p>
          <w:p w14:paraId="28CED339" w14:textId="77777777">
            <w:pPr>
              <w:spacing w:before="60" w:after="60"/>
            </w:pPr>
            <w:r>
              <w:rPr>
                <w:color w:val="1E293B"/>
              </w:rPr>
              <w:t>Apex is planning to use the $400 million in IPO proceeds in different ways depending on strategic priorities. Your job in Tab 4 is to evaluate three scenarios and determine which deployment strategy produces the best financial outcome for the company.</w:t>
            </w:r>
          </w:p>
        </w:tc>
      </w:tr>
    </w:tbl>
    <w:p w14:paraId="28CED33B" w14:textId="77777777">
      <w:pPr>
        <w:spacing w:before="160"/>
      </w:pPr>
    </w:p>
    <w:p w14:paraId="28CED33C" w14:textId="77777777">
      <w:pPr>
        <w:pBdr>
          <w:bottom w:val="single" w:sz="6" w:space="4" w:color="C9A84C"/>
        </w:pBdr>
        <w:spacing w:before="300" w:after="120"/>
      </w:pPr>
      <w:r>
        <w:rPr>
          <w:rFonts w:ascii="Georgia" w:eastAsia="Georgia" w:hAnsi="Georgia" w:cs="Georgia"/>
          <w:b/>
          <w:bCs/>
          <w:color w:val="1E2761"/>
          <w:sz w:val="28"/>
          <w:szCs w:val="28"/>
        </w:rPr>
        <w:t>Section 3 — Your Excel Workbook: Tab-by-Tab Guide</w:t>
      </w:r>
    </w:p>
    <w:p w14:paraId="28CED33D" w14:textId="77777777">
      <w:pPr>
        <w:spacing w:before="60"/>
      </w:pPr>
    </w:p>
    <w:p w14:paraId="28CED33E" w14:textId="77777777">
      <w:pPr>
        <w:spacing w:before="60" w:after="60"/>
      </w:pPr>
      <w:r>
        <w:rPr>
          <w:color w:val="1E293B"/>
        </w:rPr>
        <w:t>The Excel workbook contains four main student tabs plus a scenario-earnings schedule. Complete them in order because each tab builds on linked assumptions and prior calculations.</w:t>
      </w:r>
    </w:p>
    <w:p w14:paraId="28CED33F" w14:textId="777777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342" w14:textId="77777777">
        <w:tblPrEx>
          <w:tblCellMar>
            <w:top w:w="0" w:type="dxa"/>
            <w:bottom w:w="0" w:type="dxa"/>
          </w:tblCellMar>
        </w:tblPrEx>
        <w:trPr>
          <w:cantSplit/>
        </w:trPr>
        <w:tc>
          <w:tcPr>
            <w:tcW w:w="9360" w:type="dxa"/>
            <w:tcBorders>
              <w:top w:val="single" w:sz="8" w:space="0" w:color="1E2761"/>
              <w:left w:val="single" w:sz="8" w:space="0" w:color="1E2761"/>
            </w:tcBorders>
            <w:shd w:val="clear" w:color="auto" w:fill="1E2761"/>
            <w:tcMar>
              <w:top w:w="120" w:type="dxa"/>
              <w:left w:w="200" w:type="dxa"/>
              <w:bottom w:w="100" w:type="dxa"/>
              <w:right w:w="200" w:type="dxa"/>
            </w:tcMar>
          </w:tcPr>
          <w:p w14:paraId="28CED340" w14:textId="77777777">
            <w:pPr>
              <w:spacing w:after="40"/>
            </w:pPr>
            <w:r>
              <w:rPr>
                <w:rFonts w:ascii="Georgia" w:eastAsia="Georgia" w:hAnsi="Georgia" w:cs="Georgia"/>
                <w:b/>
                <w:bCs/>
                <w:color w:val="FFFFFF"/>
                <w:sz w:val="26"/>
                <w:szCs w:val="26"/>
              </w:rPr>
              <w:t>Tab 1 — Assumptions &amp; Source Data   —   5 min (review only)</w:t>
            </w:r>
            <w:r>
              <w:rPr>
                <w:color w:val="D4D4D4"/>
                <w:sz w:val="20"/>
                <w:szCs w:val="20"/>
              </w:rPr>
            </w:r>
          </w:p>
          <w:p w14:paraId="28CED341" w14:textId="77777777">
            <w:r>
              <w:rPr>
                <w:color w:val="CADCFC"/>
                <w:sz w:val="20"/>
                <w:szCs w:val="20"/>
              </w:rPr>
              <w:t>Confirm the financial foundation and modeling conventions before building any downstream formulas.</w:t>
            </w:r>
          </w:p>
        </w:tc>
      </w:tr>
      <w:tr w14:paraId="28CED34C" w14:textId="77777777">
        <w:tblPrEx>
          <w:tblCellMar>
            <w:top w:w="0" w:type="dxa"/>
            <w:bottom w:w="0" w:type="dxa"/>
          </w:tblCellMar>
        </w:tblPrEx>
        <w:trPr>
          <w:cantSplit/>
        </w:trPr>
        <w:tc>
          <w:tcPr>
            <w:tcW w:w="9360" w:type="dxa"/>
            <w:tcBorders>
              <w:left w:val="single" w:sz="8" w:space="0" w:color="1E2761"/>
              <w:bottom w:val="single" w:sz="8" w:space="0" w:color="1E2761"/>
            </w:tcBorders>
            <w:shd w:val="clear" w:color="auto" w:fill="FAFBFF"/>
            <w:tcMar>
              <w:top w:w="120" w:type="dxa"/>
              <w:left w:w="200" w:type="dxa"/>
              <w:bottom w:w="120" w:type="dxa"/>
              <w:right w:w="200" w:type="dxa"/>
            </w:tcMar>
          </w:tcPr>
          <w:p w14:paraId="28CED343" w14:textId="77777777">
            <w:pPr>
              <w:spacing w:after="60"/>
            </w:pPr>
            <w:r>
              <w:rPr>
                <w:b/>
                <w:bCs/>
                <w:color w:val="1E2761"/>
              </w:rPr>
              <w:t>What to do:</w:t>
            </w:r>
          </w:p>
          <w:p w14:paraId="28CED344" w14:textId="77777777">
            <w:pPr>
              <w:pStyle w:val="ListParagraph"/>
              <w:numPr>
                <w:ilvl w:val="0"/>
                <w:numId w:val="3"/>
              </w:numPr>
              <w:spacing w:before="40" w:after="40"/>
            </w:pPr>
            <w:r>
              <w:rPr>
                <w:color w:val="1E293B"/>
                <w:sz w:val="21"/>
                <w:szCs w:val="21"/>
              </w:rPr>
              <w:t>Review the centralized pre-IPO income statement, balance sheet, valuation inputs, IPO terms, and scenario definitions.</w:t>
            </w:r>
          </w:p>
          <w:p w14:paraId="28CED345" w14:textId="77777777">
            <w:pPr>
              <w:pStyle w:val="ListParagraph"/>
              <w:numPr>
                <w:ilvl w:val="0"/>
                <w:numId w:val="3"/>
              </w:numPr>
              <w:spacing w:before="40" w:after="40"/>
            </w:pPr>
            <w:r>
              <w:rPr>
                <w:color w:val="1E293B"/>
                <w:sz w:val="21"/>
                <w:szCs w:val="21"/>
              </w:rPr>
              <w:t>Confirm that every hardcoded case fact appears only on the assumptions tab and that units are consistent.</w:t>
            </w:r>
          </w:p>
          <w:p w14:paraId="28CED346" w14:textId="77777777">
            <w:pPr>
              <w:pStyle w:val="ListParagraph"/>
              <w:numPr>
                <w:ilvl w:val="0"/>
                <w:numId w:val="3"/>
              </w:numPr>
              <w:spacing w:before="40" w:after="40"/>
            </w:pPr>
            <w:r>
              <w:rPr>
                <w:color w:val="1E293B"/>
                <w:sz w:val="21"/>
                <w:szCs w:val="21"/>
              </w:rPr>
              <w:t>Use the color legend: yellow/blue cells are student build cells; gray/black cells are provided assumptions.</w:t>
            </w:r>
          </w:p>
          <w:p w14:paraId="28CED347" w14:textId="77777777">
            <w:pPr>
              <w:pStyle w:val="ListParagraph"/>
              <w:numPr>
                <w:ilvl w:val="0"/>
                <w:numId w:val="3"/>
              </w:numPr>
              <w:spacing w:before="40" w:after="40"/>
            </w:pPr>
            <w:r>
              <w:rPr>
                <w:color w:val="1E293B"/>
                <w:sz w:val="21"/>
                <w:szCs w:val="21"/>
              </w:rPr>
              <w:t>Do not overwrite provided assumptions; audit the supplied baseline totals and source note before continuing.</w:t>
            </w:r>
          </w:p>
          <w:p w14:paraId="28CED348" w14:textId="7777777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28CED34A" w14:textId="77777777">
              <w:tblPrEx>
                <w:tblCellMar>
                  <w:top w:w="0" w:type="dxa"/>
                  <w:bottom w:w="0" w:type="dxa"/>
                </w:tblCellMar>
              </w:tblPrEx>
              <w:trPr>
                <w:cantSplit/>
              </w:trPr>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49" w14:textId="77777777">
                  <w:proofErr w:type="gramStart"/>
                  <w:r>
                    <w:rPr>
                      <w:color w:val="92400E"/>
                      <w:sz w:val="20"/>
                      <w:szCs w:val="20"/>
                    </w:rPr>
                    <w:t>💡</w:t>
                  </w:r>
                  <w:r>
                    <w:rPr>
                      <w:color w:val="92400E"/>
                      <w:sz w:val="20"/>
                      <w:szCs w:val="20"/>
                    </w:rPr>
                    <w:t xml:space="preserve">  Tip</w:t>
                  </w:r>
                  <w:proofErr w:type="gramEnd"/>
                  <w:r>
                    <w:rPr>
                      <w:color w:val="92400E"/>
                      <w:sz w:val="20"/>
                      <w:szCs w:val="20"/>
                    </w:rPr>
                    <w:t>: Pay close attention to EBIT ($255M), Interest Expense ($36M), Net Income ($164.25M), and the balance sheet totals. You will reference these in later tabs.</w:t>
                  </w:r>
                </w:p>
              </w:tc>
            </w:tr>
          </w:tbl>
          <w:p w14:paraId="28CED34B" w14:textId="77777777"/>
        </w:tc>
      </w:tr>
    </w:tbl>
    <w:p w14:paraId="28CED34D" w14:textId="777777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5"/>
      </w:tblGrid>
      <w:tr w14:paraId="28CED350" w14:textId="77777777">
        <w:tblPrEx>
          <w:tblCellMar>
            <w:top w:w="0" w:type="dxa"/>
            <w:bottom w:w="0" w:type="dxa"/>
          </w:tblCellMar>
        </w:tblPrEx>
        <w:trPr>
          <w:cantSplit/>
        </w:trPr>
        <w:tc>
          <w:tcPr>
            <w:tcW w:w="9360" w:type="dxa"/>
            <w:tcBorders>
              <w:top w:val="single" w:sz="8" w:space="0" w:color="166534"/>
              <w:left w:val="single" w:sz="8" w:space="0" w:color="166534"/>
            </w:tcBorders>
            <w:shd w:val="clear" w:color="auto" w:fill="166534"/>
            <w:tcMar>
              <w:top w:w="120" w:type="dxa"/>
              <w:left w:w="200" w:type="dxa"/>
              <w:bottom w:w="100" w:type="dxa"/>
              <w:right w:w="200" w:type="dxa"/>
            </w:tcMar>
          </w:tcPr>
          <w:p w14:paraId="28CED34E" w14:textId="77777777">
            <w:pPr>
              <w:spacing w:after="40"/>
            </w:pPr>
            <w:r>
              <w:rPr>
                <w:rFonts w:ascii="Georgia" w:eastAsia="Georgia" w:hAnsi="Georgia" w:cs="Georgia"/>
                <w:b/>
                <w:bCs/>
                <w:color w:val="FFFFFF"/>
                <w:sz w:val="26"/>
                <w:szCs w:val="26"/>
              </w:rPr>
              <w:t>Tab 2 — Equity Valuation</w:t>
            </w:r>
            <w:r>
              <w:rPr>
                <w:color w:val="D4D4D4"/>
                <w:sz w:val="20"/>
                <w:szCs w:val="20"/>
              </w:rPr>
              <w:t xml:space="preserve">   —   10 min</w:t>
            </w:r>
          </w:p>
          <w:p w14:paraId="28CED34F" w14:textId="77777777">
            <w:r>
              <w:rPr>
                <w:color w:val="CADCFC"/>
                <w:sz w:val="20"/>
                <w:szCs w:val="20"/>
              </w:rPr>
              <w:t>Build DDM, FCFF, and relative valuation models to triangulate the proposed offer price.</w:t>
            </w:r>
          </w:p>
        </w:tc>
      </w:tr>
      <w:tr w14:paraId="28CED359" w14:textId="77777777">
        <w:tblPrEx>
          <w:tblCellMar>
            <w:top w:w="0" w:type="dxa"/>
            <w:bottom w:w="0" w:type="dxa"/>
          </w:tblCellMar>
        </w:tblPrEx>
        <w:trPr>
          <w:cantSplit/>
        </w:trPr>
        <w:tc>
          <w:tcPr>
            <w:tcW w:w="9360" w:type="dxa"/>
            <w:tcBorders>
              <w:left w:val="single" w:sz="8" w:space="0" w:color="166534"/>
              <w:bottom w:val="single" w:sz="8" w:space="0" w:color="166534"/>
            </w:tcBorders>
            <w:shd w:val="clear" w:color="auto" w:fill="FAFBFF"/>
            <w:tcMar>
              <w:top w:w="120" w:type="dxa"/>
              <w:left w:w="200" w:type="dxa"/>
              <w:bottom w:w="120" w:type="dxa"/>
              <w:right w:w="200" w:type="dxa"/>
            </w:tcMar>
          </w:tcPr>
          <w:p w14:paraId="28CED351" w14:textId="77777777">
            <w:pPr>
              <w:spacing w:after="60"/>
            </w:pPr>
            <w:r>
              <w:rPr>
                <w:b/>
                <w:bCs/>
                <w:color w:val="1E2761"/>
              </w:rPr>
              <w:t>What to do:</w:t>
            </w:r>
          </w:p>
          <w:p w14:paraId="28CED352" w14:textId="77777777">
            <w:pPr>
              <w:pStyle w:val="ListParagraph"/>
              <w:numPr>
                <w:ilvl w:val="0"/>
                <w:numId w:val="3"/>
              </w:numPr>
              <w:spacing w:before="40" w:after="40"/>
            </w:pPr>
            <w:r>
              <w:rPr>
                <w:color w:val="1E293B"/>
                <w:sz w:val="21"/>
                <w:szCs w:val="21"/>
              </w:rPr>
              <w:t>Part A — DDM: Build the constant-growth valuation with linked assumptions and verify that required return exceeds perpetual growth.</w:t>
            </w:r>
          </w:p>
          <w:p w14:paraId="28CED353" w14:textId="77777777">
            <w:pPr>
              <w:pStyle w:val="ListParagraph"/>
              <w:numPr>
                <w:ilvl w:val="0"/>
                <w:numId w:val="3"/>
              </w:numPr>
              <w:spacing w:before="40" w:after="40"/>
            </w:pPr>
            <w:r>
              <w:rPr>
                <w:color w:val="1E293B"/>
                <w:sz w:val="21"/>
                <w:szCs w:val="21"/>
              </w:rPr>
              <w:t>Part B — FCFF: Build enterprise value, the pre-money equity bridge, and pre-IPO value per share with the correct claim and share-count denominators.</w:t>
            </w:r>
          </w:p>
          <w:p w14:paraId="28CED354" w14:textId="77777777">
            <w:pPr>
              <w:pStyle w:val="ListParagraph"/>
              <w:numPr>
                <w:ilvl w:val="0"/>
                <w:numId w:val="3"/>
              </w:numPr>
              <w:spacing w:before="40" w:after="40"/>
            </w:pPr>
            <w:r>
              <w:rPr>
                <w:color w:val="1E293B"/>
                <w:sz w:val="21"/>
                <w:szCs w:val="21"/>
              </w:rPr>
              <w:t>Parts C–D — Relative valuation and comparison: build P/E and P/S cross-checks, link every model into the comparison table, and assess reliability without mechanically averaging results.</w:t>
            </w:r>
          </w:p>
          <w:p w14:paraId="28CED355" w14:textId="7777777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28CED357" w14:textId="77777777">
              <w:tblPrEx>
                <w:tblCellMar>
                  <w:top w:w="0" w:type="dxa"/>
                  <w:bottom w:w="0" w:type="dxa"/>
                </w:tblCellMar>
              </w:tblPrEx>
              <w:trPr>
                <w:cantSplit/>
              </w:trPr>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56" w14:textId="77777777">
                  <w:proofErr w:type="gramStart"/>
                  <w:r>
                    <w:rPr>
                      <w:color w:val="92400E"/>
                      <w:sz w:val="20"/>
                      <w:szCs w:val="20"/>
                    </w:rPr>
                    <w:t>💡  Tip: Do not assume any model must be above or below the offer. Investigate the assumptions, claim definitions, peer comparability, and valuation checks before drawing a conclusion.</w:t>
                  </w:r>
                  <w:r>
                    <w:rPr>
                      <w:color w:val="92400E"/>
                      <w:sz w:val="20"/>
                      <w:szCs w:val="20"/>
                    </w:rPr>
                  </w:r>
                  <w:proofErr w:type="gramEnd"/>
                  <w:r>
                    <w:rPr>
                      <w:color w:val="92400E"/>
                      <w:sz w:val="20"/>
                      <w:szCs w:val="20"/>
                    </w:rPr>
                  </w:r>
                </w:p>
              </w:tc>
            </w:tr>
          </w:tbl>
          <w:p w14:paraId="28CED358" w14:textId="77777777"/>
        </w:tc>
      </w:tr>
      <w:tr w14:paraId="571CEFA7" w14:textId="77777777">
        <w:tblPrEx>
          <w:tblCellMar>
            <w:top w:w="0" w:type="dxa"/>
            <w:bottom w:w="0" w:type="dxa"/>
          </w:tblCellMar>
        </w:tblPrEx>
        <w:trPr>
          <w:cantSplit/>
        </w:trPr>
        <w:tc>
          <w:tcPr>
            <w:tcW w:w="9360" w:type="dxa"/>
            <w:tcBorders>
              <w:top w:val="single" w:sz="4" w:space="0" w:color="auto"/>
              <w:left w:val="single" w:sz="8" w:space="0" w:color="166534"/>
              <w:bottom w:val="single" w:sz="8" w:space="0" w:color="166534"/>
              <w:right w:val="single" w:sz="4" w:space="0" w:color="auto"/>
            </w:tcBorders>
            <w:shd w:val="clear" w:color="auto" w:fill="FAFBFF"/>
            <w:tcMar>
              <w:top w:w="120" w:type="dxa"/>
              <w:left w:w="200" w:type="dxa"/>
              <w:bottom w:w="120" w:type="dxa"/>
              <w:right w:w="200" w:type="dxa"/>
            </w:tcMar>
          </w:tcPr>
          <w:p w14:paraId="02DFDA95" w14:textId="78EF2B13">
            <w:pPr>
              <w:spacing w:after="60"/>
              <w:rPr>
                <w:b/>
                <w:bCs/>
                <w:color w:val="1E2761"/>
              </w:rPr>
            </w:pPr>
            <w:r>
              <w:rPr>
                <w:b/>
                <w:bCs/>
                <w:color w:val="1E2761"/>
              </w:rPr>
              <w:t>Tab 2A — Build Scenario Earnings and EPS   —   5 min</w:t>
            </w:r>
            <w:r>
              <w:rPr>
                <w:b/>
                <w:bCs/>
                <w:color w:val="1E2761"/>
              </w:rPr>
            </w:r>
            <w:r>
              <w:rPr>
                <w:b/>
                <w:bCs/>
                <w:color w:val="1E2761"/>
              </w:rPr>
            </w:r>
            <w:r>
              <w:rPr>
                <w:b/>
                <w:bCs/>
                <w:color w:val="1E2761"/>
              </w:rPr>
            </w:r>
            <w:r>
              <w:rPr>
                <w:b/>
                <w:bCs/>
                <w:color w:val="1E2761"/>
              </w:rPr>
            </w:r>
            <w:r>
              <w:rPr>
                <w:b/>
                <w:bCs/>
                <w:color w:val="1E2761"/>
              </w:rPr>
            </w:r>
            <w:r>
              <w:rPr>
                <w:b/>
                <w:bCs/>
                <w:color w:val="1E2761"/>
              </w:rPr>
            </w:r>
            <w:r>
              <w:rPr>
                <w:b/>
                <w:bCs/>
                <w:color w:val="1E2761"/>
              </w:rPr>
            </w:r>
          </w:p>
          <w:p w14:paraId="7B39AB0F" w14:textId="13597259">
            <w:pPr>
              <w:spacing w:after="60"/>
              <w:rPr>
                <w:b/>
                <w:bCs/>
                <w:color w:val="1E2761"/>
              </w:rPr>
            </w:pPr>
            <w:r>
              <w:rPr>
                <w:b/>
                <w:bCs/>
                <w:color w:val="1E2761"/>
              </w:rPr>
              <w:drawing>
                <wp:inline distT="0" distB="0" distL="0" distR="0" wp14:anchorId="69848617" wp14:editId="1C18FE51">
                  <wp:extent cx="6173061" cy="2248214"/>
                  <wp:effectExtent l="0" t="0" r="0" b="0"/>
                  <wp:docPr id="97971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18855" name=""/>
                          <pic:cNvPicPr/>
                        </pic:nvPicPr>
                        <pic:blipFill>
                          <a:blip r:embed="rId7"/>
                          <a:stretch>
                            <a:fillRect/>
                          </a:stretch>
                        </pic:blipFill>
                        <pic:spPr>
                          <a:xfrm>
                            <a:off x="0" y="0"/>
                            <a:ext cx="6173061" cy="2248214"/>
                          </a:xfrm>
                          <a:prstGeom prst="rect">
                            <a:avLst/>
                          </a:prstGeom>
                        </pic:spPr>
                      </pic:pic>
                    </a:graphicData>
                  </a:graphic>
                </wp:inline>
              </w:drawing>
            </w:r>
          </w:p>
          <w:p w14:paraId="60D143A5" w14:textId="0A545DA9">
            <w:pPr>
              <w:spacing w:after="60"/>
              <w:rPr>
                <w:b/>
                <w:bCs/>
                <w:color w:val="1E2761"/>
              </w:rPr>
            </w:pPr>
          </w:p>
        </w:tc>
      </w:tr>
      <w:tr w14:paraId="27E3339B" w14:textId="77777777">
        <w:tblPrEx>
          <w:tblCellMar>
            <w:top w:w="0" w:type="dxa"/>
            <w:bottom w:w="0" w:type="dxa"/>
          </w:tblCellMar>
        </w:tblPrEx>
        <w:trPr>
          <w:cantSplit/>
        </w:trPr>
        <w:tc>
          <w:tcPr>
            <w:tcW w:w="9360" w:type="dxa"/>
            <w:tcBorders>
              <w:top w:val="single" w:sz="4" w:space="0" w:color="auto"/>
              <w:left w:val="single" w:sz="8" w:space="0" w:color="166534"/>
              <w:bottom w:val="single" w:sz="8" w:space="0" w:color="166534"/>
              <w:right w:val="single" w:sz="4" w:space="0" w:color="auto"/>
            </w:tcBorders>
            <w:shd w:val="clear" w:color="auto" w:fill="FAFBFF"/>
            <w:tcMar>
              <w:top w:w="120" w:type="dxa"/>
              <w:left w:w="200" w:type="dxa"/>
              <w:bottom w:w="120" w:type="dxa"/>
              <w:right w:w="200" w:type="dxa"/>
            </w:tcMar>
          </w:tcPr>
          <w:p w14:paraId="0C22BAEE" w14:textId="77777777">
            <w:pPr>
              <w:spacing w:after="60"/>
              <w:rPr>
                <w:b/>
                <w:bCs/>
                <w:color w:val="1E2761"/>
              </w:rPr>
            </w:pPr>
            <w:r>
              <w:rPr>
                <w:b/>
                <w:bCs/>
                <w:color w:val="1E2761"/>
              </w:rPr>
              <w:t>What to do:</w:t>
            </w:r>
          </w:p>
          <w:p w14:paraId="01C15138" w14:textId="2BA9821E">
            <w:pPr>
              <w:pStyle w:val="ListParagraph"/>
              <w:numPr>
                <w:ilvl w:val="0"/>
                <w:numId w:val="5"/>
              </w:numPr>
              <w:spacing w:before="40" w:after="40"/>
              <w:rPr>
                <w:b/>
                <w:bCs/>
                <w:color w:val="1E2761"/>
              </w:rPr>
            </w:pPr>
            <w:r>
              <w:rPr>
                <w:b/>
                <w:bCs/>
                <w:color w:val="1E2761"/>
              </w:rPr>
              <w:t>Build each scenario income statement from linked operating assumptions and the post-transaction debt schedule.</w:t>
            </w:r>
          </w:p>
          <w:p w14:paraId="4AB5D245" w14:textId="34149CA6">
            <w:pPr>
              <w:pStyle w:val="ListParagraph"/>
              <w:numPr>
                <w:ilvl w:val="0"/>
                <w:numId w:val="5"/>
              </w:numPr>
              <w:spacing w:before="40" w:after="40"/>
              <w:rPr>
                <w:b/>
                <w:bCs/>
                <w:color w:val="1E2761"/>
              </w:rPr>
            </w:pPr>
            <w:r>
              <w:rPr>
                <w:b/>
                <w:bCs/>
                <w:color w:val="1E2761"/>
              </w:rPr>
              <w:t>Trace how interest expense changes earnings before tax, income tax, net income, and EPS.</w:t>
            </w:r>
            <w:r>
              <w:rPr>
                <w:b/>
                <w:bCs/>
                <w:color w:val="1E2761"/>
              </w:rPr>
            </w:r>
            <w:r>
              <w:rPr>
                <w:b/>
                <w:bCs/>
                <w:color w:val="1E2761"/>
              </w:rPr>
            </w:r>
            <w:r>
              <w:rPr>
                <w:b/>
                <w:bCs/>
                <w:color w:val="1E2761"/>
              </w:rPr>
            </w:r>
            <w:r>
              <w:rPr>
                <w:b/>
                <w:bCs/>
                <w:color w:val="1E2761"/>
              </w:rPr>
            </w:r>
            <w:r>
              <w:rPr>
                <w:b/>
                <w:bCs/>
                <w:color w:val="1E2761"/>
              </w:rPr>
            </w:r>
            <w:r>
              <w:rPr>
                <w:b/>
                <w:bCs/>
                <w:color w:val="1E2761"/>
              </w:rPr>
            </w:r>
          </w:p>
          <w:p w14:paraId="6A0B02B5" w14:textId="7482E348">
            <w:pPr>
              <w:pStyle w:val="ListParagraph"/>
              <w:numPr>
                <w:ilvl w:val="0"/>
                <w:numId w:val="5"/>
              </w:numPr>
              <w:spacing w:before="40" w:after="40"/>
              <w:rPr>
                <w:b/>
                <w:bCs/>
                <w:color w:val="1E2761"/>
              </w:rPr>
            </w:pPr>
            <w:r>
              <w:rPr>
                <w:b/>
                <w:bCs/>
                <w:color w:val="1E2761"/>
              </w:rPr>
              <w:t>Use the earnings identity and EPS checks to audit each scenario before using the outputs.</w:t>
            </w:r>
            <w:r>
              <w:rPr>
                <w:b/>
                <w:bCs/>
                <w:color w:val="1E2761"/>
              </w:rPr>
            </w:r>
            <w:r>
              <w:rPr>
                <w:b/>
                <w:bCs/>
                <w:color w:val="1E2761"/>
              </w:rPr>
            </w:r>
          </w:p>
          <w:p w14:paraId="7055735C" w14:textId="77777777">
            <w:pPr>
              <w:spacing w:after="60"/>
              <w:rPr>
                <w:b/>
                <w:bCs/>
                <w:color w:val="1E2761"/>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00A0963D" w14:textId="77777777">
              <w:tblPrEx>
                <w:tblCellMar>
                  <w:top w:w="0" w:type="dxa"/>
                  <w:bottom w:w="0" w:type="dxa"/>
                </w:tblCellMar>
              </w:tblPrEx>
              <w:trPr>
                <w:cantSplit/>
              </w:trPr>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19377C19" w14:textId="6199C348">
                  <w:proofErr w:type="gramStart"/>
                  <w:r>
                    <w:rPr>
                      <w:rFonts w:ascii="Segoe UI Emoji" w:hAnsi="Segoe UI Emoji" w:cs="Segoe UI Emoji"/>
                      <w:color w:val="92400E"/>
                      <w:sz w:val="20"/>
                      <w:szCs w:val="20"/>
                    </w:rPr>
                    <w:t>💡</w:t>
                  </w:r>
                  <w:r>
                    <w:rPr>
                      <w:color w:val="92400E"/>
                      <w:sz w:val="20"/>
                      <w:szCs w:val="20"/>
                    </w:rPr>
                    <w:t xml:space="preserve">  Tip</w:t>
                  </w:r>
                  <w:proofErr w:type="gramEnd"/>
                  <w:r>
                    <w:rPr>
                      <w:color w:val="92400E"/>
                      <w:sz w:val="20"/>
                      <w:szCs w:val="20"/>
                    </w:rPr>
                    <w:t xml:space="preserve">: </w:t>
                  </w:r>
                </w:p>
              </w:tc>
            </w:tr>
          </w:tbl>
          <w:p w14:paraId="2BB05CC1" w14:textId="77777777">
            <w:pPr>
              <w:spacing w:after="60"/>
              <w:rPr>
                <w:b/>
                <w:bCs/>
                <w:color w:val="1E2761"/>
              </w:rPr>
            </w:pPr>
          </w:p>
        </w:tc>
      </w:tr>
    </w:tbl>
    <w:p w14:paraId="28CED35A" w14:textId="777777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35D" w14:textId="77777777">
        <w:tblPrEx>
          <w:tblCellMar>
            <w:top w:w="0" w:type="dxa"/>
            <w:bottom w:w="0" w:type="dxa"/>
          </w:tblCellMar>
        </w:tblPrEx>
        <w:trPr>
          <w:cantSplit/>
        </w:trPr>
        <w:tc>
          <w:tcPr>
            <w:tcW w:w="9360" w:type="dxa"/>
            <w:tcBorders>
              <w:top w:val="single" w:sz="8" w:space="0" w:color="1D4ED8"/>
              <w:left w:val="single" w:sz="8" w:space="0" w:color="1D4ED8"/>
            </w:tcBorders>
            <w:shd w:val="clear" w:color="auto" w:fill="1D4ED8"/>
            <w:tcMar>
              <w:top w:w="120" w:type="dxa"/>
              <w:left w:w="200" w:type="dxa"/>
              <w:bottom w:w="100" w:type="dxa"/>
              <w:right w:w="200" w:type="dxa"/>
            </w:tcMar>
          </w:tcPr>
          <w:p w14:paraId="28CED35B" w14:textId="77777777">
            <w:pPr>
              <w:spacing w:after="40"/>
            </w:pPr>
            <w:r>
              <w:rPr>
                <w:rFonts w:ascii="Georgia" w:eastAsia="Georgia" w:hAnsi="Georgia" w:cs="Georgia"/>
                <w:b/>
                <w:bCs/>
                <w:color w:val="FFFFFF"/>
                <w:sz w:val="26"/>
                <w:szCs w:val="26"/>
              </w:rPr>
              <w:t>Tab 3 — Ratio Analysis</w:t>
            </w:r>
            <w:r>
              <w:rPr>
                <w:color w:val="D4D4D4"/>
                <w:sz w:val="20"/>
                <w:szCs w:val="20"/>
              </w:rPr>
              <w:t xml:space="preserve">   —   10 min</w:t>
            </w:r>
          </w:p>
          <w:p w14:paraId="28CED35C" w14:textId="77777777">
            <w:r>
              <w:rPr>
                <w:color w:val="CADCFC"/>
                <w:sz w:val="20"/>
                <w:szCs w:val="20"/>
              </w:rPr>
              <w:t>Calculate nine audited financial and per-share metrics for the pre-IPO case and all three scenarios.</w:t>
            </w:r>
          </w:p>
        </w:tc>
      </w:tr>
      <w:tr w14:paraId="28CED367" w14:textId="77777777">
        <w:tblPrEx>
          <w:tblCellMar>
            <w:top w:w="0" w:type="dxa"/>
            <w:bottom w:w="0" w:type="dxa"/>
          </w:tblCellMar>
        </w:tblPrEx>
        <w:trPr>
          <w:cantSplit/>
        </w:trPr>
        <w:tc>
          <w:tcPr>
            <w:tcW w:w="9360" w:type="dxa"/>
            <w:tcBorders>
              <w:left w:val="single" w:sz="8" w:space="0" w:color="1D4ED8"/>
              <w:bottom w:val="single" w:sz="8" w:space="0" w:color="1D4ED8"/>
            </w:tcBorders>
            <w:shd w:val="clear" w:color="auto" w:fill="FAFBFF"/>
            <w:tcMar>
              <w:top w:w="120" w:type="dxa"/>
              <w:left w:w="200" w:type="dxa"/>
              <w:bottom w:w="120" w:type="dxa"/>
              <w:right w:w="200" w:type="dxa"/>
            </w:tcMar>
          </w:tcPr>
          <w:p w14:paraId="28CED35E" w14:textId="77777777">
            <w:pPr>
              <w:spacing w:after="60"/>
            </w:pPr>
            <w:r>
              <w:rPr>
                <w:b/>
                <w:bCs/>
                <w:color w:val="1E2761"/>
              </w:rPr>
              <w:t>What to do:</w:t>
            </w:r>
          </w:p>
          <w:p w14:paraId="28CED35F" w14:textId="77777777">
            <w:pPr>
              <w:pStyle w:val="ListParagraph"/>
              <w:numPr>
                <w:ilvl w:val="0"/>
                <w:numId w:val="5"/>
              </w:numPr>
              <w:spacing w:before="40" w:after="40"/>
            </w:pPr>
            <w:r>
              <w:rPr>
                <w:color w:val="1E293B"/>
                <w:sz w:val="21"/>
                <w:szCs w:val="21"/>
              </w:rPr>
              <w:t>Use the reconciled scenario balance sheets and earnings schedule as the source for every ratio numerator and denominator.</w:t>
            </w:r>
            <w:proofErr w:type="gramStart"/>
            <w:r>
              <w:rPr>
                <w:color w:val="1E293B"/>
                <w:sz w:val="21"/>
                <w:szCs w:val="21"/>
              </w:rPr>
            </w:r>
            <w:proofErr w:type="gramEnd"/>
            <w:r>
              <w:rPr>
                <w:color w:val="1E293B"/>
                <w:sz w:val="21"/>
                <w:szCs w:val="21"/>
              </w:rPr>
            </w:r>
          </w:p>
          <w:p w14:paraId="28CED360" w14:textId="77777777">
            <w:pPr>
              <w:pStyle w:val="ListParagraph"/>
              <w:numPr>
                <w:ilvl w:val="0"/>
                <w:numId w:val="5"/>
              </w:numPr>
              <w:spacing w:before="40" w:after="40"/>
            </w:pPr>
            <w:r>
              <w:rPr>
                <w:color w:val="1E293B"/>
                <w:sz w:val="21"/>
                <w:szCs w:val="21"/>
              </w:rPr>
              <w:t>Build the pre-IPO baseline and each scenario column with linked formulas; do not type case numbers into calculation formulas.</w:t>
            </w:r>
            <w:proofErr w:type="gramStart"/>
            <w:r>
              <w:rPr>
                <w:color w:val="1E293B"/>
                <w:sz w:val="21"/>
                <w:szCs w:val="21"/>
              </w:rPr>
            </w:r>
            <w:proofErr w:type="gramEnd"/>
            <w:r>
              <w:rPr>
                <w:color w:val="1E293B"/>
                <w:sz w:val="21"/>
                <w:szCs w:val="21"/>
              </w:rPr>
            </w:r>
          </w:p>
          <w:p w14:paraId="28CED361" w14:textId="77777777">
            <w:pPr>
              <w:pStyle w:val="ListParagraph"/>
              <w:numPr>
                <w:ilvl w:val="0"/>
                <w:numId w:val="5"/>
              </w:numPr>
              <w:spacing w:before="40" w:after="40"/>
            </w:pPr>
            <w:r>
              <w:rPr>
                <w:color w:val="1E293B"/>
                <w:sz w:val="21"/>
                <w:szCs w:val="21"/>
              </w:rPr>
              <w:t>Audit debt-to-equity, current ratio, interest coverage, simplified ROE and ROA, liabilities-to-assets, net profit margin, EPS, and book value per share.</w:t>
            </w:r>
          </w:p>
          <w:p w14:paraId="28CED362" w14:textId="77777777">
            <w:pPr>
              <w:pStyle w:val="ListParagraph"/>
              <w:numPr>
                <w:ilvl w:val="0"/>
                <w:numId w:val="5"/>
              </w:numPr>
              <w:spacing w:before="40" w:after="40"/>
            </w:pPr>
            <w:r>
              <w:rPr>
                <w:color w:val="1E293B"/>
                <w:sz w:val="21"/>
                <w:szCs w:val="21"/>
              </w:rPr>
              <w:t>Answer the reflection and audit questions with evidence from the linked model.</w:t>
            </w:r>
          </w:p>
          <w:p w14:paraId="28CED363" w14:textId="7777777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28CED365" w14:textId="77777777">
              <w:tblPrEx>
                <w:tblCellMar>
                  <w:top w:w="0" w:type="dxa"/>
                  <w:bottom w:w="0" w:type="dxa"/>
                </w:tblCellMar>
              </w:tblPrEx>
              <w:trPr>
                <w:cantSplit/>
              </w:trPr>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64" w14:textId="77777777">
                  <w:proofErr w:type="gramStart"/>
                  <w:r>
                    <w:rPr>
                      <w:color w:val="92400E"/>
                      <w:sz w:val="20"/>
                      <w:szCs w:val="20"/>
                    </w:rPr>
                    <w:t>💡  Tip: Do not use a ratio until you have confirmed its numerator, denominator, period, and relevant scenario source cells.</w:t>
                  </w:r>
                  <w:r>
                    <w:rPr>
                      <w:color w:val="92400E"/>
                      <w:sz w:val="20"/>
                      <w:szCs w:val="20"/>
                    </w:rPr>
                  </w:r>
                  <w:proofErr w:type="gramEnd"/>
                  <w:r>
                    <w:rPr>
                      <w:color w:val="92400E"/>
                      <w:sz w:val="20"/>
                      <w:szCs w:val="20"/>
                    </w:rPr>
                  </w:r>
                </w:p>
              </w:tc>
            </w:tr>
          </w:tbl>
          <w:p w14:paraId="28CED366" w14:textId="77777777"/>
        </w:tc>
      </w:tr>
    </w:tbl>
    <w:p w14:paraId="28CED368" w14:textId="777777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36B" w14:textId="77777777">
        <w:tblPrEx>
          <w:tblCellMar>
            <w:top w:w="0" w:type="dxa"/>
            <w:bottom w:w="0" w:type="dxa"/>
          </w:tblCellMar>
        </w:tblPrEx>
        <w:trPr>
          <w:cantSplit/>
        </w:trPr>
        <w:tc>
          <w:tcPr>
            <w:tcW w:w="9360" w:type="dxa"/>
            <w:tcBorders>
              <w:top w:val="single" w:sz="8" w:space="0" w:color="6D2E46"/>
              <w:left w:val="single" w:sz="8" w:space="0" w:color="6D2E46"/>
            </w:tcBorders>
            <w:shd w:val="clear" w:color="auto" w:fill="6D2E46"/>
            <w:tcMar>
              <w:top w:w="120" w:type="dxa"/>
              <w:left w:w="200" w:type="dxa"/>
              <w:bottom w:w="100" w:type="dxa"/>
              <w:right w:w="200" w:type="dxa"/>
            </w:tcMar>
          </w:tcPr>
          <w:p w14:paraId="28CED369" w14:textId="77777777">
            <w:pPr>
              <w:spacing w:after="40"/>
            </w:pPr>
            <w:r>
              <w:rPr>
                <w:rFonts w:ascii="Georgia" w:eastAsia="Georgia" w:hAnsi="Georgia" w:cs="Georgia"/>
                <w:b/>
                <w:bCs/>
                <w:color w:val="FFFFFF"/>
                <w:sz w:val="26"/>
                <w:szCs w:val="26"/>
              </w:rPr>
              <w:t>Tab 4 — Scenario Analysis</w:t>
            </w:r>
            <w:r>
              <w:rPr>
                <w:color w:val="D4D4D4"/>
                <w:sz w:val="20"/>
                <w:szCs w:val="20"/>
              </w:rPr>
              <w:t xml:space="preserve">   —   10 min</w:t>
            </w:r>
          </w:p>
          <w:p w14:paraId="28CED36A" w14:textId="77777777">
            <w:r>
              <w:rPr>
                <w:color w:val="CADCFC"/>
                <w:sz w:val="20"/>
                <w:szCs w:val="20"/>
              </w:rPr>
              <w:t>Reconcile three IPO proceeds strategies and defend both the offer price and the deployment choice.</w:t>
            </w:r>
          </w:p>
        </w:tc>
      </w:tr>
      <w:tr w14:paraId="28CED375" w14:textId="77777777">
        <w:tblPrEx>
          <w:tblCellMar>
            <w:top w:w="0" w:type="dxa"/>
            <w:bottom w:w="0" w:type="dxa"/>
          </w:tblCellMar>
        </w:tblPrEx>
        <w:trPr>
          <w:cantSplit/>
        </w:trPr>
        <w:tc>
          <w:tcPr>
            <w:tcW w:w="9360" w:type="dxa"/>
            <w:tcBorders>
              <w:left w:val="single" w:sz="8" w:space="0" w:color="6D2E46"/>
              <w:bottom w:val="single" w:sz="8" w:space="0" w:color="6D2E46"/>
            </w:tcBorders>
            <w:shd w:val="clear" w:color="auto" w:fill="FAFBFF"/>
            <w:tcMar>
              <w:top w:w="120" w:type="dxa"/>
              <w:left w:w="200" w:type="dxa"/>
              <w:bottom w:w="120" w:type="dxa"/>
              <w:right w:w="200" w:type="dxa"/>
            </w:tcMar>
          </w:tcPr>
          <w:p w14:paraId="28CED36C" w14:textId="77777777">
            <w:pPr>
              <w:spacing w:after="60"/>
            </w:pPr>
            <w:r>
              <w:rPr>
                <w:b/>
                <w:bCs/>
                <w:color w:val="1E2761"/>
              </w:rPr>
              <w:t>What to do:</w:t>
            </w:r>
          </w:p>
          <w:p w14:paraId="28CED36D" w14:textId="77777777">
            <w:pPr>
              <w:pStyle w:val="ListParagraph"/>
              <w:numPr>
                <w:ilvl w:val="0"/>
                <w:numId w:val="5"/>
              </w:numPr>
              <w:spacing w:before="40" w:after="40"/>
            </w:pPr>
            <w:r>
              <w:rPr>
                <w:color w:val="1E293B"/>
                <w:sz w:val="21"/>
                <w:szCs w:val="21"/>
              </w:rPr>
              <w:t>Review the centralized scenario assumptions: maximum feasible debt reduction with excess cash retained, growth capex, and a balanced debt/capex mix.</w:t>
            </w:r>
          </w:p>
          <w:p w14:paraId="28CED36E" w14:textId="77777777">
            <w:pPr>
              <w:pStyle w:val="ListParagraph"/>
              <w:numPr>
                <w:ilvl w:val="0"/>
                <w:numId w:val="5"/>
              </w:numPr>
              <w:spacing w:before="40" w:after="40"/>
            </w:pPr>
            <w:r>
              <w:rPr>
                <w:color w:val="1E293B"/>
                <w:sz w:val="21"/>
                <w:szCs w:val="21"/>
              </w:rPr>
              <w:t>Build gross-to-net sources and uses, post-transaction balance sheets, capital structure, per-share effects, and all required tie-out checks for each scenario.</w:t>
            </w:r>
            <w:proofErr w:type="gramStart"/>
            <w:r>
              <w:rPr>
                <w:color w:val="1E293B"/>
                <w:sz w:val="21"/>
                <w:szCs w:val="21"/>
              </w:rPr>
            </w:r>
            <w:proofErr w:type="gramEnd"/>
            <w:r>
              <w:rPr>
                <w:color w:val="1E293B"/>
                <w:sz w:val="21"/>
                <w:szCs w:val="21"/>
              </w:rPr>
            </w:r>
          </w:p>
          <w:p w14:paraId="28CED36F" w14:textId="77777777">
            <w:pPr>
              <w:pStyle w:val="ListParagraph"/>
              <w:numPr>
                <w:ilvl w:val="0"/>
                <w:numId w:val="5"/>
              </w:numPr>
              <w:spacing w:before="40" w:after="40"/>
            </w:pPr>
            <w:r>
              <w:rPr>
                <w:color w:val="1E293B"/>
                <w:sz w:val="21"/>
                <w:szCs w:val="21"/>
              </w:rPr>
              <w:t>In the recommendation section, state an offer-price decision, choose a deployment scenario, and cite valuation, balance-sheet, per-share, and ratio evidence.</w:t>
            </w:r>
          </w:p>
          <w:p w14:paraId="28CED370" w14:textId="77777777">
            <w:pPr>
              <w:pStyle w:val="ListParagraph"/>
              <w:numPr>
                <w:ilvl w:val="0"/>
                <w:numId w:val="5"/>
              </w:numPr>
              <w:spacing w:before="40" w:after="40"/>
            </w:pPr>
            <w:r>
              <w:rPr>
                <w:color w:val="1E293B"/>
                <w:sz w:val="21"/>
                <w:szCs w:val="21"/>
              </w:rPr>
              <w:t>Resolve every CHECK before interpreting the scenario; a zero-interest case should display N/M rather than a misleading zero coverage ratio.</w:t>
            </w:r>
          </w:p>
          <w:p w14:paraId="28CED371" w14:textId="77777777">
            <w:pPr>
              <w:spacing w:before="8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14:paraId="28CED373" w14:textId="77777777">
              <w:tblPrEx>
                <w:tblCellMar>
                  <w:top w:w="0" w:type="dxa"/>
                  <w:bottom w:w="0" w:type="dxa"/>
                </w:tblCellMar>
              </w:tblPrEx>
              <w:trPr>
                <w:cantSplit/>
              </w:trPr>
              <w:tc>
                <w:tcPr>
                  <w:tcW w:w="8900" w:type="dxa"/>
                  <w:tcBorders>
                    <w:top w:val="single" w:sz="4" w:space="0" w:color="C9A84C"/>
                    <w:left w:val="single" w:sz="4" w:space="0" w:color="C9A84C"/>
                    <w:bottom w:val="single" w:sz="4" w:space="0" w:color="C9A84C"/>
                    <w:right w:val="single" w:sz="4" w:space="0" w:color="C9A84C"/>
                  </w:tcBorders>
                  <w:shd w:val="clear" w:color="auto" w:fill="FFFBEB"/>
                  <w:tcMar>
                    <w:top w:w="80" w:type="dxa"/>
                    <w:left w:w="160" w:type="dxa"/>
                    <w:bottom w:w="80" w:type="dxa"/>
                    <w:right w:w="160" w:type="dxa"/>
                  </w:tcMar>
                </w:tcPr>
                <w:p w14:paraId="28CED372" w14:textId="77777777">
                  <w:proofErr w:type="gramStart"/>
                  <w:r>
                    <w:rPr>
                      <w:color w:val="92400E"/>
                      <w:sz w:val="20"/>
                      <w:szCs w:val="20"/>
                    </w:rPr>
                    <w:t>💡  Tip: Think carefully: a use of proceeds cannot exceed the liability being repaid. Track any excess as cash and explain why year-one ratios may not capture long-run returns from investment.</w:t>
                  </w:r>
                  <w:r>
                    <w:rPr>
                      <w:color w:val="92400E"/>
                      <w:sz w:val="20"/>
                      <w:szCs w:val="20"/>
                    </w:rPr>
                  </w:r>
                  <w:proofErr w:type="gramEnd"/>
                  <w:r>
                    <w:rPr>
                      <w:color w:val="92400E"/>
                      <w:sz w:val="20"/>
                      <w:szCs w:val="20"/>
                    </w:rPr>
                  </w:r>
                  <w:proofErr w:type="gramStart"/>
                  <w:r>
                    <w:rPr>
                      <w:color w:val="92400E"/>
                      <w:sz w:val="20"/>
                      <w:szCs w:val="20"/>
                    </w:rPr>
                  </w:r>
                  <w:proofErr w:type="gramEnd"/>
                  <w:r>
                    <w:rPr>
                      <w:color w:val="92400E"/>
                      <w:sz w:val="20"/>
                      <w:szCs w:val="20"/>
                    </w:rPr>
                  </w:r>
                </w:p>
              </w:tc>
            </w:tr>
          </w:tbl>
          <w:p w14:paraId="28CED374" w14:textId="77777777"/>
        </w:tc>
      </w:tr>
    </w:tbl>
    <w:p w14:paraId="28CED376" w14:textId="77777777">
      <w:pPr>
        <w:spacing w:before="120"/>
      </w:pPr>
    </w:p>
    <w:p w14:paraId="28CED377" w14:textId="77777777">
      <w:pPr>
        <w:spacing w:before="60"/>
      </w:pPr>
    </w:p>
    <w:p w14:paraId="28CED378" w14:textId="77777777">
      <w:pPr>
        <w:pBdr>
          <w:bottom w:val="single" w:sz="6" w:space="4" w:color="C9A84C"/>
        </w:pBdr>
        <w:spacing w:before="300" w:after="120"/>
      </w:pPr>
      <w:r>
        <w:rPr>
          <w:rFonts w:ascii="Georgia" w:eastAsia="Georgia" w:hAnsi="Georgia" w:cs="Georgia"/>
          <w:b/>
          <w:bCs/>
          <w:color w:val="1E2761"/>
          <w:sz w:val="28"/>
          <w:szCs w:val="28"/>
        </w:rPr>
        <w:t>Section 4 — Formula Reference Sheet</w:t>
      </w:r>
    </w:p>
    <w:p w14:paraId="28CED379" w14:textId="77777777">
      <w:pPr>
        <w:spacing w:before="60"/>
      </w:pPr>
    </w:p>
    <w:p w14:paraId="28CED37A" w14:textId="77777777">
      <w:pPr>
        <w:spacing w:before="60" w:after="60"/>
      </w:pPr>
      <w:r>
        <w:rPr>
          <w:color w:val="1E293B"/>
        </w:rPr>
        <w:t>The reference sheet defines each relationship. Translate the definitions into linked cell formulas and use the workbook checks to audit the result.</w:t>
      </w:r>
    </w:p>
    <w:p w14:paraId="28CED37B" w14:textId="777777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14:paraId="28CED37F" w14:textId="77777777">
        <w:tblPrEx>
          <w:tblCellMar>
            <w:top w:w="0" w:type="dxa"/>
            <w:bottom w:w="0" w:type="dxa"/>
          </w:tblCellMar>
        </w:tblPrEx>
        <w:trPr>
          <w:tblHeader/>
          <w:cantSplit/>
        </w:trPr>
        <w:tc>
          <w:tcPr>
            <w:tcW w:w="28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C" w14:textId="77777777">
            <w:pPr>
              <w:jc w:val="center"/>
            </w:pPr>
            <w:r>
              <w:rPr>
                <w:b/>
                <w:bCs/>
                <w:color w:val="FFFFFF"/>
                <w:sz w:val="20"/>
                <w:szCs w:val="20"/>
              </w:rPr>
              <w:t>Formula / Concept</w:t>
            </w:r>
          </w:p>
        </w:tc>
        <w:tc>
          <w:tcPr>
            <w:tcW w:w="24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D" w14:textId="77777777">
            <w:pPr>
              <w:jc w:val="center"/>
            </w:pPr>
            <w:r>
              <w:rPr>
                <w:b/>
                <w:bCs/>
                <w:color w:val="FFFFFF"/>
                <w:sz w:val="20"/>
                <w:szCs w:val="20"/>
              </w:rPr>
              <w:t>Expression</w:t>
            </w:r>
          </w:p>
        </w:tc>
        <w:tc>
          <w:tcPr>
            <w:tcW w:w="41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7E" w14:textId="77777777">
            <w:pPr>
              <w:jc w:val="center"/>
            </w:pPr>
            <w:r>
              <w:rPr>
                <w:b/>
                <w:bCs/>
                <w:color w:val="FFFFFF"/>
                <w:sz w:val="20"/>
                <w:szCs w:val="20"/>
              </w:rPr>
              <w:t>Excel Approach</w:t>
            </w:r>
          </w:p>
        </w:tc>
      </w:tr>
      <w:tr w14:paraId="28CED383"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80" w14:textId="77777777">
            <w:r>
              <w:rPr>
                <w:b/>
                <w:bCs/>
                <w:color w:val="1E2761"/>
                <w:sz w:val="21"/>
                <w:szCs w:val="21"/>
              </w:rPr>
              <w:t>DDM Stock Price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1" w14:textId="77777777">
            <w:pPr>
              <w:jc w:val="center"/>
            </w:pPr>
            <w:r>
              <w:rPr>
                <w:b/>
                <w:bCs/>
                <w:color w:val="C9A84C"/>
                <w:sz w:val="21"/>
                <w:szCs w:val="21"/>
              </w:rPr>
              <w:t>P₀ = D₁ / (r – g)</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82" w14:textId="77777777">
            <w:r>
              <w:rPr>
                <w:color w:val="0000AA"/>
                <w:sz w:val="19"/>
                <w:szCs w:val="19"/>
              </w:rPr>
              <w:t>=D1_cell / (</w:t>
            </w:r>
            <w:proofErr w:type="spellStart"/>
            <w:r>
              <w:rPr>
                <w:color w:val="0000AA"/>
                <w:sz w:val="19"/>
                <w:szCs w:val="19"/>
              </w:rPr>
              <w:t>r_cell</w:t>
            </w:r>
            <w:proofErr w:type="spellEnd"/>
            <w:r>
              <w:rPr>
                <w:color w:val="0000AA"/>
                <w:sz w:val="19"/>
                <w:szCs w:val="19"/>
              </w:rPr>
              <w:t xml:space="preserve"> - </w:t>
            </w:r>
            <w:proofErr w:type="spellStart"/>
            <w:r>
              <w:rPr>
                <w:color w:val="0000AA"/>
                <w:sz w:val="19"/>
                <w:szCs w:val="19"/>
              </w:rPr>
              <w:t>g_</w:t>
            </w:r>
            <w:proofErr w:type="gramStart"/>
            <w:r>
              <w:rPr>
                <w:color w:val="0000AA"/>
                <w:sz w:val="19"/>
                <w:szCs w:val="19"/>
              </w:rPr>
              <w:t>cell</w:t>
            </w:r>
            <w:proofErr w:type="spellEnd"/>
            <w:r>
              <w:rPr>
                <w:color w:val="0000AA"/>
                <w:sz w:val="19"/>
                <w:szCs w:val="19"/>
              </w:rPr>
              <w:t>)  →</w:t>
            </w:r>
            <w:proofErr w:type="gramEnd"/>
            <w:r>
              <w:rPr>
                <w:color w:val="0000AA"/>
                <w:sz w:val="19"/>
                <w:szCs w:val="19"/>
              </w:rPr>
              <w:t xml:space="preserve">  e.g., =D6/(D7-D8)</w:t>
            </w:r>
          </w:p>
        </w:tc>
      </w:tr>
      <w:tr w14:paraId="28CED387"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84" w14:textId="77777777">
            <w:r>
              <w:rPr>
                <w:b/>
                <w:bCs/>
                <w:color w:val="1E2761"/>
                <w:sz w:val="21"/>
                <w:szCs w:val="21"/>
              </w:rPr>
              <w:t>Enterprise Value (FCF)</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5" w14:textId="77777777">
            <w:pPr>
              <w:jc w:val="center"/>
            </w:pPr>
            <w:r>
              <w:rPr>
                <w:b/>
                <w:bCs/>
                <w:color w:val="C9A84C"/>
                <w:sz w:val="21"/>
                <w:szCs w:val="21"/>
              </w:rPr>
              <w:t>EV = FCF₁ / (WACC – g)</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86" w14:textId="77777777">
            <w:r>
              <w:rPr>
                <w:color w:val="0000AA"/>
                <w:sz w:val="19"/>
                <w:szCs w:val="19"/>
              </w:rPr>
              <w:t>=</w:t>
            </w:r>
            <w:proofErr w:type="spellStart"/>
            <w:r>
              <w:rPr>
                <w:color w:val="0000AA"/>
                <w:sz w:val="19"/>
                <w:szCs w:val="19"/>
              </w:rPr>
              <w:t>FCF_cell</w:t>
            </w:r>
            <w:proofErr w:type="spellEnd"/>
            <w:r>
              <w:rPr>
                <w:color w:val="0000AA"/>
                <w:sz w:val="19"/>
                <w:szCs w:val="19"/>
              </w:rPr>
              <w:t xml:space="preserve"> / (</w:t>
            </w:r>
            <w:proofErr w:type="spellStart"/>
            <w:r>
              <w:rPr>
                <w:color w:val="0000AA"/>
                <w:sz w:val="19"/>
                <w:szCs w:val="19"/>
              </w:rPr>
              <w:t>WACC_cell</w:t>
            </w:r>
            <w:proofErr w:type="spellEnd"/>
            <w:r>
              <w:rPr>
                <w:color w:val="0000AA"/>
                <w:sz w:val="19"/>
                <w:szCs w:val="19"/>
              </w:rPr>
              <w:t xml:space="preserve"> - </w:t>
            </w:r>
            <w:proofErr w:type="spellStart"/>
            <w:r>
              <w:rPr>
                <w:color w:val="0000AA"/>
                <w:sz w:val="19"/>
                <w:szCs w:val="19"/>
              </w:rPr>
              <w:t>g_cell</w:t>
            </w:r>
            <w:proofErr w:type="spellEnd"/>
            <w:r>
              <w:rPr>
                <w:color w:val="0000AA"/>
                <w:sz w:val="19"/>
                <w:szCs w:val="19"/>
              </w:rPr>
              <w:t>)</w:t>
            </w:r>
          </w:p>
        </w:tc>
      </w:tr>
      <w:tr w14:paraId="28CED38B"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88" w14:textId="77777777">
            <w:r>
              <w:rPr>
                <w:b/>
                <w:bCs/>
                <w:color w:val="1E2761"/>
                <w:sz w:val="21"/>
                <w:szCs w:val="21"/>
              </w:rPr>
              <w:t>Equity Value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9" w14:textId="77777777">
            <w:pPr>
              <w:jc w:val="center"/>
            </w:pPr>
            <w:r>
              <w:rPr>
                <w:b/>
                <w:bCs/>
                <w:color w:val="C9A84C"/>
                <w:sz w:val="21"/>
                <w:szCs w:val="21"/>
              </w:rPr>
              <w:t>EV – Net Debt</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8A" w14:textId="77777777">
            <w:r>
              <w:rPr>
                <w:color w:val="0000AA"/>
                <w:sz w:val="19"/>
                <w:szCs w:val="19"/>
              </w:rPr>
              <w:t>=</w:t>
            </w:r>
            <w:proofErr w:type="spellStart"/>
            <w:r>
              <w:rPr>
                <w:color w:val="0000AA"/>
                <w:sz w:val="19"/>
                <w:szCs w:val="19"/>
              </w:rPr>
              <w:t>EV_cell</w:t>
            </w:r>
            <w:proofErr w:type="spellEnd"/>
            <w:r>
              <w:rPr>
                <w:color w:val="0000AA"/>
                <w:sz w:val="19"/>
                <w:szCs w:val="19"/>
              </w:rPr>
              <w:t xml:space="preserve"> - Debt_cell + </w:t>
            </w:r>
            <w:proofErr w:type="spellStart"/>
            <w:r>
              <w:rPr>
                <w:color w:val="0000AA"/>
                <w:sz w:val="19"/>
                <w:szCs w:val="19"/>
              </w:rPr>
              <w:t>Cash_cell</w:t>
            </w:r>
            <w:proofErr w:type="spellEnd"/>
          </w:p>
        </w:tc>
      </w:tr>
      <w:tr w14:paraId="28CED38F"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8C" w14:textId="77777777">
            <w:r>
              <w:rPr>
                <w:b/>
                <w:bCs/>
                <w:color w:val="1E2761"/>
                <w:sz w:val="21"/>
                <w:szCs w:val="21"/>
              </w:rPr>
              <w:t>Price Per Share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8D" w14:textId="77777777">
            <w:pPr>
              <w:jc w:val="center"/>
            </w:pPr>
            <w:r>
              <w:rPr>
                <w:b/>
                <w:bCs/>
                <w:color w:val="C9A84C"/>
                <w:sz w:val="21"/>
                <w:szCs w:val="21"/>
              </w:rPr>
              <w:t>Equity Value / Shares</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8E" w14:textId="77777777">
            <w:r>
              <w:rPr>
                <w:color w:val="0000AA"/>
                <w:sz w:val="19"/>
                <w:szCs w:val="19"/>
              </w:rPr>
              <w:t>=</w:t>
            </w:r>
            <w:proofErr w:type="spellStart"/>
            <w:r>
              <w:rPr>
                <w:color w:val="0000AA"/>
                <w:sz w:val="19"/>
                <w:szCs w:val="19"/>
              </w:rPr>
              <w:t>Equity_cell</w:t>
            </w:r>
            <w:proofErr w:type="spellEnd"/>
            <w:r>
              <w:rPr>
                <w:color w:val="0000AA"/>
                <w:sz w:val="19"/>
                <w:szCs w:val="19"/>
              </w:rPr>
              <w:t xml:space="preserve"> / </w:t>
            </w:r>
            <w:proofErr w:type="spellStart"/>
            <w:r>
              <w:rPr>
                <w:color w:val="0000AA"/>
                <w:sz w:val="19"/>
                <w:szCs w:val="19"/>
              </w:rPr>
              <w:t>Shares_cell</w:t>
            </w:r>
            <w:proofErr w:type="spellEnd"/>
          </w:p>
        </w:tc>
      </w:tr>
      <w:tr w14:paraId="28CED393"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90" w14:textId="77777777">
            <w:r>
              <w:rPr>
                <w:b/>
                <w:bCs/>
                <w:color w:val="1E2761"/>
                <w:sz w:val="21"/>
                <w:szCs w:val="21"/>
              </w:rPr>
              <w:t>Debt-to-Equity Ratio</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1" w14:textId="77777777">
            <w:pPr>
              <w:jc w:val="center"/>
            </w:pPr>
            <w:r>
              <w:rPr>
                <w:b/>
                <w:bCs/>
                <w:color w:val="C9A84C"/>
                <w:sz w:val="21"/>
                <w:szCs w:val="21"/>
              </w:rPr>
              <w:t>Total Debt / Equity</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92" w14:textId="77777777">
            <w:proofErr w:type="gramStart"/>
            <w:r>
              <w:rPr>
                <w:color w:val="0000AA"/>
                <w:sz w:val="19"/>
                <w:szCs w:val="19"/>
              </w:rPr>
              <w:t>=(</w:t>
            </w:r>
            <w:proofErr w:type="spellStart"/>
            <w:proofErr w:type="gramEnd"/>
            <w:r>
              <w:rPr>
                <w:color w:val="0000AA"/>
                <w:sz w:val="19"/>
                <w:szCs w:val="19"/>
              </w:rPr>
              <w:t>Short_Debt</w:t>
            </w:r>
            <w:proofErr w:type="spellEnd"/>
            <w:r>
              <w:rPr>
                <w:color w:val="0000AA"/>
                <w:sz w:val="19"/>
                <w:szCs w:val="19"/>
              </w:rPr>
              <w:t xml:space="preserve"> + </w:t>
            </w:r>
            <w:proofErr w:type="spellStart"/>
            <w:r>
              <w:rPr>
                <w:color w:val="0000AA"/>
                <w:sz w:val="19"/>
                <w:szCs w:val="19"/>
              </w:rPr>
              <w:t>Long_Debt</w:t>
            </w:r>
            <w:proofErr w:type="spellEnd"/>
            <w:r>
              <w:rPr>
                <w:color w:val="0000AA"/>
                <w:sz w:val="19"/>
                <w:szCs w:val="19"/>
              </w:rPr>
              <w:t>) / Equity</w:t>
            </w:r>
          </w:p>
        </w:tc>
      </w:tr>
      <w:tr w14:paraId="28CED397"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94" w14:textId="77777777">
            <w:r>
              <w:rPr>
                <w:b/>
                <w:bCs/>
                <w:color w:val="1E2761"/>
                <w:sz w:val="21"/>
                <w:szCs w:val="21"/>
              </w:rPr>
              <w:t>Current Ratio</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5" w14:textId="77777777">
            <w:pPr>
              <w:jc w:val="center"/>
            </w:pPr>
            <w:r>
              <w:rPr>
                <w:b/>
                <w:bCs/>
                <w:color w:val="C9A84C"/>
                <w:sz w:val="21"/>
                <w:szCs w:val="21"/>
              </w:rPr>
              <w:t>Current Assets / Current Liabilities</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96" w14:textId="77777777">
            <w:proofErr w:type="gramStart"/>
            <w:r>
              <w:rPr>
                <w:color w:val="0000AA"/>
                <w:sz w:val="19"/>
                <w:szCs w:val="19"/>
              </w:rPr>
              <w:t>=(</w:t>
            </w:r>
            <w:proofErr w:type="gramEnd"/>
            <w:r>
              <w:rPr>
                <w:color w:val="0000AA"/>
                <w:sz w:val="19"/>
                <w:szCs w:val="19"/>
              </w:rPr>
              <w:t xml:space="preserve">Cash + AR + Inventory) / (AP + </w:t>
            </w:r>
            <w:proofErr w:type="spellStart"/>
            <w:r>
              <w:rPr>
                <w:color w:val="0000AA"/>
                <w:sz w:val="19"/>
                <w:szCs w:val="19"/>
              </w:rPr>
              <w:t>ST_Debt</w:t>
            </w:r>
            <w:proofErr w:type="spellEnd"/>
            <w:r>
              <w:rPr>
                <w:color w:val="0000AA"/>
                <w:sz w:val="19"/>
                <w:szCs w:val="19"/>
              </w:rPr>
              <w:t>)</w:t>
            </w:r>
          </w:p>
        </w:tc>
      </w:tr>
      <w:tr w14:paraId="28CED39B"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98" w14:textId="77777777">
            <w:r>
              <w:rPr>
                <w:b/>
                <w:bCs/>
                <w:color w:val="1E2761"/>
                <w:sz w:val="21"/>
                <w:szCs w:val="21"/>
              </w:rPr>
              <w:t>Interest Coverage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9" w14:textId="77777777">
            <w:pPr>
              <w:jc w:val="center"/>
            </w:pPr>
            <w:r>
              <w:rPr>
                <w:b/>
                <w:bCs/>
                <w:color w:val="C9A84C"/>
                <w:sz w:val="21"/>
                <w:szCs w:val="21"/>
              </w:rPr>
              <w:t>EBIT / Interest Expense</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9A" w14:textId="77777777">
            <w:r>
              <w:rPr>
                <w:color w:val="0000AA"/>
                <w:sz w:val="19"/>
                <w:szCs w:val="19"/>
              </w:rPr>
              <w:t>=</w:t>
            </w:r>
            <w:proofErr w:type="spellStart"/>
            <w:r>
              <w:rPr>
                <w:color w:val="0000AA"/>
                <w:sz w:val="19"/>
                <w:szCs w:val="19"/>
              </w:rPr>
              <w:t>EBIT_cell</w:t>
            </w:r>
            <w:proofErr w:type="spellEnd"/>
            <w:r>
              <w:rPr>
                <w:color w:val="0000AA"/>
                <w:sz w:val="19"/>
                <w:szCs w:val="19"/>
              </w:rPr>
              <w:t xml:space="preserve"> / </w:t>
            </w:r>
            <w:proofErr w:type="spellStart"/>
            <w:r>
              <w:rPr>
                <w:color w:val="0000AA"/>
                <w:sz w:val="19"/>
                <w:szCs w:val="19"/>
              </w:rPr>
              <w:t>Interest_cell</w:t>
            </w:r>
            <w:proofErr w:type="spellEnd"/>
          </w:p>
        </w:tc>
      </w:tr>
      <w:tr w14:paraId="28CED39F"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9C" w14:textId="77777777">
            <w:r>
              <w:rPr>
                <w:b/>
                <w:bCs/>
                <w:color w:val="1E2761"/>
                <w:sz w:val="21"/>
                <w:szCs w:val="21"/>
              </w:rPr>
              <w:t>Return on Equity (ROE)</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9D" w14:textId="77777777">
            <w:pPr>
              <w:jc w:val="center"/>
            </w:pPr>
            <w:r>
              <w:rPr>
                <w:b/>
                <w:bCs/>
                <w:color w:val="C9A84C"/>
                <w:sz w:val="21"/>
                <w:szCs w:val="21"/>
              </w:rPr>
              <w:t>Net Income / Shareholders' Equity</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9E" w14:textId="77777777">
            <w:r>
              <w:rPr>
                <w:color w:val="0000AA"/>
                <w:sz w:val="19"/>
                <w:szCs w:val="19"/>
              </w:rPr>
              <w:t>=</w:t>
            </w:r>
            <w:proofErr w:type="spellStart"/>
            <w:r>
              <w:rPr>
                <w:color w:val="0000AA"/>
                <w:sz w:val="19"/>
                <w:szCs w:val="19"/>
              </w:rPr>
              <w:t>Net_Income_cell</w:t>
            </w:r>
            <w:proofErr w:type="spellEnd"/>
            <w:r>
              <w:rPr>
                <w:color w:val="0000AA"/>
                <w:sz w:val="19"/>
                <w:szCs w:val="19"/>
              </w:rPr>
              <w:t xml:space="preserve"> / </w:t>
            </w:r>
            <w:proofErr w:type="spellStart"/>
            <w:r>
              <w:rPr>
                <w:color w:val="0000AA"/>
                <w:sz w:val="19"/>
                <w:szCs w:val="19"/>
              </w:rPr>
              <w:t>Equity_cell</w:t>
            </w:r>
            <w:proofErr w:type="spellEnd"/>
          </w:p>
        </w:tc>
      </w:tr>
      <w:tr w14:paraId="28CED3A3"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A0" w14:textId="77777777">
            <w:r>
              <w:rPr>
                <w:b/>
                <w:bCs/>
                <w:color w:val="1E2761"/>
                <w:sz w:val="21"/>
                <w:szCs w:val="21"/>
              </w:rPr>
              <w:t>Liabilities-to-Assets</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A1" w14:textId="77777777">
            <w:pPr>
              <w:jc w:val="center"/>
            </w:pPr>
            <w:r>
              <w:rPr>
                <w:b/>
                <w:bCs/>
                <w:color w:val="C9A84C"/>
                <w:sz w:val="21"/>
                <w:szCs w:val="21"/>
              </w:rPr>
              <w:t>Total Liabilities / Total Assets</w:t>
            </w:r>
          </w:p>
        </w:tc>
        <w:tc>
          <w:tcPr>
            <w:tcW w:w="4160" w:type="dxa"/>
            <w:tcBorders>
              <w:top w:val="single" w:sz="4" w:space="0" w:color="CADCFC"/>
              <w:left w:val="single" w:sz="4" w:space="0" w:color="CADCFC"/>
              <w:bottom w:val="single" w:sz="4" w:space="0" w:color="CADCFC"/>
              <w:right w:val="single" w:sz="4" w:space="0" w:color="CADCFC"/>
            </w:tcBorders>
            <w:shd w:val="clear" w:color="auto" w:fill="FFF9E6"/>
            <w:tcMar>
              <w:top w:w="80" w:type="dxa"/>
              <w:left w:w="120" w:type="dxa"/>
              <w:bottom w:w="80" w:type="dxa"/>
              <w:right w:w="120" w:type="dxa"/>
            </w:tcMar>
            <w:vAlign w:val="center"/>
          </w:tcPr>
          <w:p w14:paraId="28CED3A2" w14:textId="77777777">
            <w:r>
              <w:rPr>
                <w:color w:val="0000AA"/>
                <w:sz w:val="19"/>
                <w:szCs w:val="19"/>
              </w:rPr>
              <w:t>=</w:t>
            </w:r>
            <w:proofErr w:type="spellStart"/>
            <w:r>
              <w:rPr>
                <w:color w:val="0000AA"/>
                <w:sz w:val="19"/>
                <w:szCs w:val="19"/>
              </w:rPr>
              <w:t>Total_Liabilities</w:t>
            </w:r>
            <w:proofErr w:type="spellEnd"/>
            <w:r>
              <w:rPr>
                <w:color w:val="0000AA"/>
                <w:sz w:val="19"/>
                <w:szCs w:val="19"/>
              </w:rPr>
              <w:t xml:space="preserve"> / </w:t>
            </w:r>
            <w:proofErr w:type="spellStart"/>
            <w:r>
              <w:rPr>
                <w:color w:val="0000AA"/>
                <w:sz w:val="19"/>
                <w:szCs w:val="19"/>
              </w:rPr>
              <w:t>Total_Assets</w:t>
            </w:r>
            <w:proofErr w:type="spellEnd"/>
          </w:p>
        </w:tc>
      </w:tr>
      <w:tr w14:paraId="28CED3A7" w14:textId="77777777">
        <w:tblPrEx>
          <w:tblCellMar>
            <w:top w:w="0" w:type="dxa"/>
            <w:bottom w:w="0" w:type="dxa"/>
          </w:tblCellMar>
        </w:tblPrEx>
        <w:trPr>
          <w:cantSplit/>
        </w:trPr>
        <w:tc>
          <w:tcPr>
            <w:tcW w:w="28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A4" w14:textId="77777777">
            <w:r>
              <w:rPr>
                <w:b/>
                <w:bCs/>
                <w:color w:val="1E2761"/>
                <w:sz w:val="21"/>
                <w:szCs w:val="21"/>
              </w:rPr>
              <w:lastRenderedPageBreak/>
              <w:t>Net Profit Margin</w:t>
            </w:r>
          </w:p>
        </w:tc>
        <w:tc>
          <w:tcPr>
            <w:tcW w:w="24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120" w:type="dxa"/>
              <w:bottom w:w="80" w:type="dxa"/>
              <w:right w:w="80" w:type="dxa"/>
            </w:tcMar>
            <w:vAlign w:val="center"/>
          </w:tcPr>
          <w:p w14:paraId="28CED3A5" w14:textId="77777777">
            <w:pPr>
              <w:jc w:val="center"/>
            </w:pPr>
            <w:r>
              <w:rPr>
                <w:b/>
                <w:bCs/>
                <w:color w:val="C9A84C"/>
                <w:sz w:val="21"/>
                <w:szCs w:val="21"/>
              </w:rPr>
              <w:t>Net Income / Revenue</w:t>
            </w:r>
          </w:p>
        </w:tc>
        <w:tc>
          <w:tcPr>
            <w:tcW w:w="4160" w:type="dxa"/>
            <w:tcBorders>
              <w:top w:val="single" w:sz="4" w:space="0" w:color="CADCFC"/>
              <w:left w:val="single" w:sz="4" w:space="0" w:color="CADCFC"/>
              <w:bottom w:val="single" w:sz="4" w:space="0" w:color="CADCFC"/>
              <w:right w:val="single" w:sz="4" w:space="0" w:color="CADCFC"/>
            </w:tcBorders>
            <w:shd w:val="clear" w:color="auto" w:fill="FFFEF7"/>
            <w:tcMar>
              <w:top w:w="80" w:type="dxa"/>
              <w:left w:w="120" w:type="dxa"/>
              <w:bottom w:w="80" w:type="dxa"/>
              <w:right w:w="120" w:type="dxa"/>
            </w:tcMar>
            <w:vAlign w:val="center"/>
          </w:tcPr>
          <w:p w14:paraId="28CED3A6" w14:textId="77777777">
            <w:r>
              <w:rPr>
                <w:color w:val="0000AA"/>
                <w:sz w:val="19"/>
                <w:szCs w:val="19"/>
              </w:rPr>
              <w:t>=</w:t>
            </w:r>
            <w:proofErr w:type="spellStart"/>
            <w:r>
              <w:rPr>
                <w:color w:val="0000AA"/>
                <w:sz w:val="19"/>
                <w:szCs w:val="19"/>
              </w:rPr>
              <w:t>Net_Income</w:t>
            </w:r>
            <w:proofErr w:type="spellEnd"/>
            <w:r>
              <w:rPr>
                <w:color w:val="0000AA"/>
                <w:sz w:val="19"/>
                <w:szCs w:val="19"/>
              </w:rPr>
              <w:t xml:space="preserve"> / Revenue</w:t>
            </w:r>
          </w:p>
        </w:tc>
      </w:tr>
    </w:tbl>
    <w:p w14:paraId="28CED3A8" w14:textId="77777777">
      <w:pPr>
        <w:spacing w:before="160"/>
      </w:pPr>
    </w:p>
    <w:p w14:paraId="28CED3A9" w14:textId="77777777">
      <w:pPr>
        <w:pBdr>
          <w:bottom w:val="single" w:sz="6" w:space="4" w:color="C9A84C"/>
        </w:pBdr>
        <w:spacing w:before="300" w:after="120"/>
      </w:pPr>
      <w:r>
        <w:rPr>
          <w:rFonts w:ascii="Georgia" w:eastAsia="Georgia" w:hAnsi="Georgia" w:cs="Georgia"/>
          <w:b/>
          <w:bCs/>
          <w:color w:val="1E2761"/>
          <w:sz w:val="28"/>
          <w:szCs w:val="28"/>
        </w:rPr>
        <w:t>Section 5 — Excel Color Code Guide</w:t>
      </w:r>
    </w:p>
    <w:p w14:paraId="28CED3AA"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14:paraId="28CED3AE" w14:textId="77777777">
        <w:tblPrEx>
          <w:tblCellMar>
            <w:top w:w="0" w:type="dxa"/>
            <w:bottom w:w="0" w:type="dxa"/>
          </w:tblCellMar>
        </w:tblPrEx>
        <w:trPr>
          <w:tblHeader/>
          <w:cantSplit/>
        </w:trPr>
        <w:tc>
          <w:tcPr>
            <w:tcW w:w="2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B" w14:textId="77777777">
            <w:pPr>
              <w:jc w:val="center"/>
            </w:pPr>
            <w:r>
              <w:rPr>
                <w:b/>
                <w:bCs/>
                <w:color w:val="FFFFFF"/>
                <w:sz w:val="20"/>
                <w:szCs w:val="20"/>
              </w:rPr>
              <w:t>Color / Style</w:t>
            </w:r>
          </w:p>
        </w:tc>
        <w:tc>
          <w:tcPr>
            <w:tcW w:w="32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C" w14:textId="77777777">
            <w:pPr>
              <w:jc w:val="center"/>
            </w:pPr>
            <w:r>
              <w:rPr>
                <w:b/>
                <w:bCs/>
                <w:color w:val="FFFFFF"/>
                <w:sz w:val="20"/>
                <w:szCs w:val="20"/>
              </w:rPr>
              <w:t>Meaning</w:t>
            </w:r>
          </w:p>
        </w:tc>
        <w:tc>
          <w:tcPr>
            <w:tcW w:w="39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AD" w14:textId="77777777">
            <w:pPr>
              <w:jc w:val="center"/>
            </w:pPr>
            <w:r>
              <w:rPr>
                <w:b/>
                <w:bCs/>
                <w:color w:val="FFFFFF"/>
                <w:sz w:val="20"/>
                <w:szCs w:val="20"/>
              </w:rPr>
              <w:t>What You Should Do</w:t>
            </w:r>
          </w:p>
        </w:tc>
      </w:tr>
      <w:tr w14:paraId="28CED3B2" w14:textId="77777777">
        <w:tblPrEx>
          <w:tblCellMar>
            <w:top w:w="0" w:type="dxa"/>
            <w:bottom w:w="0" w:type="dxa"/>
          </w:tblCellMar>
        </w:tblPrEx>
        <w:trPr>
          <w:cantSplit/>
        </w:trPr>
        <w:tc>
          <w:tcPr>
            <w:tcW w:w="2200" w:type="dxa"/>
            <w:tcBorders>
              <w:top w:val="single" w:sz="4" w:space="0" w:color="CADCFC"/>
              <w:left w:val="single" w:sz="4" w:space="0" w:color="CADCFC"/>
              <w:bottom w:val="single" w:sz="4" w:space="0" w:color="CADCFC"/>
              <w:right w:val="single" w:sz="4" w:space="0" w:color="CADCFC"/>
            </w:tcBorders>
            <w:shd w:val="clear" w:color="auto" w:fill="FFF9E6"/>
            <w:tcMar>
              <w:top w:w="100" w:type="dxa"/>
              <w:left w:w="120" w:type="dxa"/>
              <w:bottom w:w="100" w:type="dxa"/>
              <w:right w:w="80" w:type="dxa"/>
            </w:tcMar>
            <w:vAlign w:val="center"/>
          </w:tcPr>
          <w:p w14:paraId="28CED3AF" w14:textId="77777777">
            <w:pPr>
              <w:jc w:val="center"/>
            </w:pPr>
            <w:r>
              <w:rPr>
                <w:b/>
                <w:bCs/>
                <w:color w:val="0000FF"/>
                <w:sz w:val="21"/>
                <w:szCs w:val="21"/>
              </w:rPr>
              <w:t>Yellow background, blue text</w:t>
            </w:r>
          </w:p>
        </w:tc>
        <w:tc>
          <w:tcPr>
            <w:tcW w:w="320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80" w:type="dxa"/>
            </w:tcMar>
            <w:vAlign w:val="center"/>
          </w:tcPr>
          <w:p w14:paraId="28CED3B0" w14:textId="77777777">
            <w:r>
              <w:rPr>
                <w:color w:val="1E293B"/>
                <w:sz w:val="21"/>
                <w:szCs w:val="21"/>
              </w:rPr>
              <w:t>Student input cell — build your Excel formula here. Never type a hardcoded number.</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120" w:type="dxa"/>
            </w:tcMar>
            <w:vAlign w:val="center"/>
          </w:tcPr>
          <w:p w14:paraId="28CED3B1" w14:textId="77777777">
            <w:r>
              <w:rPr>
                <w:b/>
                <w:bCs/>
                <w:color w:val="0000FF"/>
                <w:sz w:val="21"/>
                <w:szCs w:val="21"/>
              </w:rPr>
              <w:t>Let Excel calculate — check the result makes logical sense.</w:t>
            </w:r>
          </w:p>
        </w:tc>
      </w:tr>
      <w:tr w14:paraId="28CED3B6" w14:textId="77777777">
        <w:tblPrEx>
          <w:tblCellMar>
            <w:top w:w="0" w:type="dxa"/>
            <w:bottom w:w="0" w:type="dxa"/>
          </w:tblCellMar>
        </w:tblPrEx>
        <w:trPr>
          <w:cantSplit/>
        </w:trPr>
        <w:tc>
          <w:tcPr>
            <w:tcW w:w="2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3" w14:textId="77777777">
            <w:pPr>
              <w:jc w:val="center"/>
            </w:pPr>
            <w:r>
              <w:rPr>
                <w:b/>
                <w:bCs/>
                <w:color w:val="000000"/>
                <w:sz w:val="21"/>
                <w:szCs w:val="21"/>
              </w:rPr>
              <w:t>White background, black text</w:t>
            </w:r>
          </w:p>
        </w:tc>
        <w:tc>
          <w:tcPr>
            <w:tcW w:w="3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4" w14:textId="77777777">
            <w:r>
              <w:rPr>
                <w:color w:val="1E293B"/>
                <w:sz w:val="21"/>
                <w:szCs w:val="21"/>
              </w:rPr>
              <w:t>Provided data — given to you by the instructor. Do not overwrite these cells.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120" w:type="dxa"/>
            </w:tcMar>
            <w:vAlign w:val="center"/>
          </w:tcPr>
          <w:p w14:paraId="28CED3B5" w14:textId="77777777">
            <w:r>
              <w:rPr>
                <w:b/>
                <w:bCs/>
                <w:color w:val="166534"/>
                <w:sz w:val="21"/>
                <w:szCs w:val="21"/>
              </w:rPr>
              <w:t>Reference these cells in your own formulas using = cell references.</w:t>
            </w:r>
          </w:p>
        </w:tc>
      </w:tr>
      <w:tr w14:paraId="28CED3BA" w14:textId="77777777">
        <w:tblPrEx>
          <w:tblCellMar>
            <w:top w:w="0" w:type="dxa"/>
            <w:bottom w:w="0" w:type="dxa"/>
          </w:tblCellMar>
        </w:tblPrEx>
        <w:trPr>
          <w:cantSplit/>
        </w:trPr>
        <w:tc>
          <w:tcPr>
            <w:tcW w:w="2200" w:type="dxa"/>
            <w:tcBorders>
              <w:top w:val="single" w:sz="4" w:space="0" w:color="CADCFC"/>
              <w:left w:val="single" w:sz="4" w:space="0" w:color="CADCFC"/>
              <w:bottom w:val="single" w:sz="4" w:space="0" w:color="CADCFC"/>
              <w:right w:val="single" w:sz="4" w:space="0" w:color="CADCFC"/>
            </w:tcBorders>
            <w:shd w:val="clear" w:color="auto" w:fill="F8FAFF"/>
            <w:tcMar>
              <w:top w:w="100" w:type="dxa"/>
              <w:left w:w="120" w:type="dxa"/>
              <w:bottom w:w="100" w:type="dxa"/>
              <w:right w:w="80" w:type="dxa"/>
            </w:tcMar>
            <w:vAlign w:val="center"/>
          </w:tcPr>
          <w:p w14:paraId="28CED3B7" w14:textId="77777777">
            <w:pPr>
              <w:jc w:val="center"/>
            </w:pPr>
            <w:r>
              <w:rPr>
                <w:b/>
                <w:bCs/>
                <w:color w:val="000000"/>
                <w:sz w:val="21"/>
                <w:szCs w:val="21"/>
              </w:rPr>
              <w:t>Gray background, black text</w:t>
            </w:r>
          </w:p>
        </w:tc>
        <w:tc>
          <w:tcPr>
            <w:tcW w:w="320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80" w:type="dxa"/>
            </w:tcMar>
            <w:vAlign w:val="center"/>
          </w:tcPr>
          <w:p w14:paraId="28CED3B8" w14:textId="77777777">
            <w:r>
              <w:rPr>
                <w:color w:val="1E293B"/>
                <w:sz w:val="21"/>
                <w:szCs w:val="21"/>
              </w:rPr>
              <w:t>Provided assumption or formula output — reference it without retyping the value.</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100" w:type="dxa"/>
              <w:left w:w="120" w:type="dxa"/>
              <w:bottom w:w="100" w:type="dxa"/>
              <w:right w:w="120" w:type="dxa"/>
            </w:tcMar>
            <w:vAlign w:val="center"/>
          </w:tcPr>
          <w:p w14:paraId="28CED3B9" w14:textId="77777777">
            <w:r>
              <w:rPr>
                <w:b/>
                <w:bCs/>
                <w:color w:val="1D4ED8"/>
                <w:sz w:val="21"/>
                <w:szCs w:val="21"/>
              </w:rPr>
              <w:t>Trace the source cell and preserve the workbook's units.</w:t>
            </w:r>
          </w:p>
        </w:tc>
      </w:tr>
      <w:tr w14:paraId="28CED3BE" w14:textId="77777777">
        <w:tblPrEx>
          <w:tblCellMar>
            <w:top w:w="0" w:type="dxa"/>
            <w:bottom w:w="0" w:type="dxa"/>
          </w:tblCellMar>
        </w:tblPrEx>
        <w:trPr>
          <w:cantSplit/>
        </w:trPr>
        <w:tc>
          <w:tcPr>
            <w:tcW w:w="2200" w:type="dxa"/>
            <w:tcBorders>
              <w:top w:val="single" w:sz="4" w:space="0" w:color="CADCFC"/>
              <w:left w:val="single" w:sz="4" w:space="0" w:color="CADCFC"/>
              <w:bottom w:val="single" w:sz="4" w:space="0" w:color="CADCFC"/>
              <w:right w:val="single" w:sz="4" w:space="0" w:color="CADCFC"/>
            </w:tcBorders>
            <w:shd w:val="clear" w:color="auto" w:fill="FFFBEB"/>
            <w:tcMar>
              <w:top w:w="100" w:type="dxa"/>
              <w:left w:w="120" w:type="dxa"/>
              <w:bottom w:w="100" w:type="dxa"/>
              <w:right w:w="80" w:type="dxa"/>
            </w:tcMar>
            <w:vAlign w:val="center"/>
          </w:tcPr>
          <w:p w14:paraId="28CED3BB" w14:textId="77777777">
            <w:pPr>
              <w:jc w:val="center"/>
            </w:pPr>
            <w:r>
              <w:rPr>
                <w:b/>
                <w:bCs/>
                <w:color w:val="92400E"/>
                <w:sz w:val="21"/>
                <w:szCs w:val="21"/>
              </w:rPr>
              <w:t>Light yellow background, brown italic</w:t>
            </w:r>
          </w:p>
        </w:tc>
        <w:tc>
          <w:tcPr>
            <w:tcW w:w="320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80" w:type="dxa"/>
            </w:tcMar>
            <w:vAlign w:val="center"/>
          </w:tcPr>
          <w:p w14:paraId="28CED3BC" w14:textId="77777777">
            <w:r>
              <w:rPr>
                <w:color w:val="1E293B"/>
                <w:sz w:val="21"/>
                <w:szCs w:val="21"/>
              </w:rPr>
              <w:t>Hint or tip — guidance text to help you build the correct formula.</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100" w:type="dxa"/>
              <w:left w:w="120" w:type="dxa"/>
              <w:bottom w:w="100" w:type="dxa"/>
              <w:right w:w="120" w:type="dxa"/>
            </w:tcMar>
            <w:vAlign w:val="center"/>
          </w:tcPr>
          <w:p w14:paraId="28CED3BD" w14:textId="77777777">
            <w:r>
              <w:rPr>
                <w:b/>
                <w:bCs/>
                <w:color w:val="92400E"/>
                <w:sz w:val="21"/>
                <w:szCs w:val="21"/>
              </w:rPr>
              <w:t>Let Excel calculate — check the result makes logical sense.</w:t>
            </w:r>
          </w:p>
        </w:tc>
      </w:tr>
    </w:tbl>
    <w:p w14:paraId="28CED3BF" w14:textId="77777777">
      <w:pPr>
        <w:spacing w:before="160"/>
      </w:pPr>
    </w:p>
    <w:p w14:paraId="28CED3C0" w14:textId="77777777">
      <w:pPr>
        <w:pBdr>
          <w:bottom w:val="single" w:sz="6" w:space="4" w:color="C9A84C"/>
        </w:pBdr>
        <w:spacing w:before="300" w:after="120"/>
      </w:pPr>
      <w:r>
        <w:rPr>
          <w:rFonts w:ascii="Georgia" w:eastAsia="Georgia" w:hAnsi="Georgia" w:cs="Georgia"/>
          <w:b/>
          <w:bCs/>
          <w:color w:val="1E2761"/>
          <w:sz w:val="28"/>
          <w:szCs w:val="28"/>
        </w:rPr>
        <w:t>Section 6 — Key Terms Quick Reference</w:t>
      </w:r>
    </w:p>
    <w:p w14:paraId="28CED3C1"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14:paraId="28CED3C4" w14:textId="77777777">
        <w:tblPrEx>
          <w:tblCellMar>
            <w:top w:w="0" w:type="dxa"/>
            <w:bottom w:w="0" w:type="dxa"/>
          </w:tblCellMar>
        </w:tblPrEx>
        <w:trPr>
          <w:tblHeader/>
          <w:cantSplit/>
        </w:trPr>
        <w:tc>
          <w:tcPr>
            <w:tcW w:w="26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C2" w14:textId="77777777">
            <w:pPr>
              <w:jc w:val="center"/>
            </w:pPr>
            <w:r>
              <w:rPr>
                <w:b/>
                <w:bCs/>
                <w:color w:val="FFFFFF"/>
                <w:sz w:val="20"/>
                <w:szCs w:val="20"/>
              </w:rPr>
              <w:t>Term</w:t>
            </w:r>
          </w:p>
        </w:tc>
        <w:tc>
          <w:tcPr>
            <w:tcW w:w="67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C3" w14:textId="77777777">
            <w:pPr>
              <w:jc w:val="center"/>
            </w:pPr>
            <w:r>
              <w:rPr>
                <w:b/>
                <w:bCs/>
                <w:color w:val="FFFFFF"/>
                <w:sz w:val="20"/>
                <w:szCs w:val="20"/>
              </w:rPr>
              <w:t>Definition</w:t>
            </w:r>
          </w:p>
        </w:tc>
      </w:tr>
      <w:tr w14:paraId="28CED3C7"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C5" w14:textId="77777777">
            <w:r>
              <w:rPr>
                <w:b/>
                <w:bCs/>
                <w:color w:val="1E2761"/>
                <w:sz w:val="21"/>
                <w:szCs w:val="21"/>
              </w:rPr>
              <w:t>IPO (Initial Public Offering)</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6" w14:textId="77777777">
            <w:r>
              <w:rPr>
                <w:color w:val="1E293B"/>
                <w:sz w:val="21"/>
                <w:szCs w:val="21"/>
              </w:rPr>
              <w:t>The first time a private company sells shares to the public on a stock exchange, raising new equity capital.</w:t>
            </w:r>
          </w:p>
        </w:tc>
      </w:tr>
      <w:tr w14:paraId="28CED3CA"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8" w14:textId="77777777">
            <w:r>
              <w:rPr>
                <w:b/>
                <w:bCs/>
                <w:color w:val="1E2761"/>
                <w:sz w:val="21"/>
                <w:szCs w:val="21"/>
              </w:rPr>
              <w:t>Enterprise Value (EV)</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C9" w14:textId="77777777">
            <w:r>
              <w:rPr>
                <w:color w:val="1E293B"/>
                <w:sz w:val="21"/>
                <w:szCs w:val="21"/>
              </w:rPr>
              <w:t>The total value of a firm — market cap plus net debt. Represents what it would cost to buy the entire company.</w:t>
            </w:r>
          </w:p>
        </w:tc>
      </w:tr>
      <w:tr w14:paraId="28CED3CD"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CB" w14:textId="77777777">
            <w:r>
              <w:rPr>
                <w:b/>
                <w:bCs/>
                <w:color w:val="1E2761"/>
                <w:sz w:val="21"/>
                <w:szCs w:val="21"/>
              </w:rPr>
              <w:t>Equity Value</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C" w14:textId="77777777">
            <w:r>
              <w:rPr>
                <w:color w:val="1E293B"/>
                <w:sz w:val="21"/>
                <w:szCs w:val="21"/>
              </w:rPr>
              <w:t>Enterprise Value minus net debt (total debt minus cash). The portion of firm value belonging to equity holders.</w:t>
            </w:r>
          </w:p>
        </w:tc>
      </w:tr>
      <w:tr w14:paraId="28CED3D0"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CE" w14:textId="77777777">
            <w:r>
              <w:rPr>
                <w:b/>
                <w:bCs/>
                <w:color w:val="1E2761"/>
                <w:sz w:val="21"/>
                <w:szCs w:val="21"/>
              </w:rPr>
              <w:t>DDM — Dividend Discount Model</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CF" w14:textId="77777777">
            <w:r>
              <w:rPr>
                <w:color w:val="1E293B"/>
                <w:sz w:val="21"/>
                <w:szCs w:val="21"/>
              </w:rPr>
              <w:t>Values a stock as the present value of all expected future dividends. Best for mature, dividend-paying firms.</w:t>
            </w:r>
          </w:p>
        </w:tc>
      </w:tr>
      <w:tr w14:paraId="28CED3D3"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1" w14:textId="77777777">
            <w:r>
              <w:rPr>
                <w:b/>
                <w:bCs/>
                <w:color w:val="1E2761"/>
                <w:sz w:val="21"/>
                <w:szCs w:val="21"/>
              </w:rPr>
              <w:t>Gordon Growth Model</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2" w14:textId="77777777">
            <w:r>
              <w:rPr>
                <w:color w:val="1E293B"/>
                <w:sz w:val="21"/>
                <w:szCs w:val="21"/>
              </w:rPr>
              <w:t>A simplified DDM assuming dividends grow at a constant rate: P₀ = D₁ / (r – g).</w:t>
            </w:r>
          </w:p>
        </w:tc>
      </w:tr>
      <w:tr w14:paraId="28CED3D6"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4" w14:textId="77777777">
            <w:r>
              <w:rPr>
                <w:b/>
                <w:bCs/>
                <w:color w:val="1E2761"/>
                <w:sz w:val="21"/>
                <w:szCs w:val="21"/>
              </w:rPr>
              <w:t>WACC</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D5" w14:textId="77777777">
            <w:r>
              <w:rPr>
                <w:color w:val="1E293B"/>
                <w:sz w:val="21"/>
                <w:szCs w:val="21"/>
              </w:rPr>
              <w:t>Weighted Average Cost of Capital — the blended required return for both debt and equity investors. Used as the discount rate in the FCF model.</w:t>
            </w:r>
          </w:p>
        </w:tc>
      </w:tr>
      <w:tr w14:paraId="28CED3D9"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7" w14:textId="77777777">
            <w:r>
              <w:rPr>
                <w:b/>
                <w:bCs/>
                <w:color w:val="1E2761"/>
                <w:sz w:val="21"/>
                <w:szCs w:val="21"/>
              </w:rPr>
              <w:t>Free Cash Flow (FCF)</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8" w14:textId="77777777">
            <w:r>
              <w:rPr>
                <w:color w:val="1E293B"/>
                <w:sz w:val="21"/>
                <w:szCs w:val="21"/>
              </w:rPr>
              <w:t>Cash generated by operations after capital expenditures — available to all investors (both debt and equity holders).</w:t>
            </w:r>
          </w:p>
        </w:tc>
      </w:tr>
      <w:tr w14:paraId="28CED3DC"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A" w14:textId="77777777">
            <w:r>
              <w:rPr>
                <w:b/>
                <w:bCs/>
                <w:color w:val="1E2761"/>
                <w:sz w:val="21"/>
                <w:szCs w:val="21"/>
              </w:rPr>
              <w:lastRenderedPageBreak/>
              <w:t>Debt-to-Equity Ratio</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DB" w14:textId="77777777">
            <w:r>
              <w:rPr>
                <w:color w:val="1E293B"/>
                <w:sz w:val="21"/>
                <w:szCs w:val="21"/>
              </w:rPr>
              <w:t>Total debt divided by shareholders' equity. Measures financial leverage — higher = more risk for equity holders.</w:t>
            </w:r>
          </w:p>
        </w:tc>
      </w:tr>
      <w:tr w14:paraId="28CED3DF"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DD" w14:textId="77777777">
            <w:r>
              <w:rPr>
                <w:b/>
                <w:bCs/>
                <w:color w:val="1E2761"/>
                <w:sz w:val="21"/>
                <w:szCs w:val="21"/>
              </w:rPr>
              <w:t>Current Ratio</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DE" w14:textId="77777777">
            <w:r>
              <w:rPr>
                <w:color w:val="1E293B"/>
                <w:sz w:val="21"/>
                <w:szCs w:val="21"/>
              </w:rPr>
              <w:t xml:space="preserve">Current assets </w:t>
            </w:r>
            <w:proofErr w:type="gramStart"/>
            <w:r>
              <w:rPr>
                <w:color w:val="1E293B"/>
                <w:sz w:val="21"/>
                <w:szCs w:val="21"/>
              </w:rPr>
              <w:t>divided</w:t>
            </w:r>
            <w:proofErr w:type="gramEnd"/>
            <w:r>
              <w:rPr>
                <w:color w:val="1E293B"/>
                <w:sz w:val="21"/>
                <w:szCs w:val="21"/>
              </w:rPr>
              <w:t xml:space="preserve"> by current liabilities. A ratio above 1.0 means the company can cover short-term obligations.</w:t>
            </w:r>
          </w:p>
        </w:tc>
      </w:tr>
      <w:tr w14:paraId="28CED3E2"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0" w14:textId="77777777">
            <w:proofErr w:type="gramStart"/>
            <w:r>
              <w:rPr>
                <w:b/>
                <w:bCs/>
                <w:color w:val="1E2761"/>
                <w:sz w:val="21"/>
                <w:szCs w:val="21"/>
              </w:rPr>
              <w:t>Interest</w:t>
            </w:r>
            <w:proofErr w:type="gramEnd"/>
            <w:r>
              <w:rPr>
                <w:b/>
                <w:bCs/>
                <w:color w:val="1E2761"/>
                <w:sz w:val="21"/>
                <w:szCs w:val="21"/>
              </w:rPr>
              <w:t xml:space="preserve"> Coverage Ratio</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E1" w14:textId="77777777">
            <w:r>
              <w:rPr>
                <w:color w:val="1E293B"/>
                <w:sz w:val="21"/>
                <w:szCs w:val="21"/>
              </w:rPr>
              <w:t xml:space="preserve">EBIT </w:t>
            </w:r>
            <w:proofErr w:type="gramStart"/>
            <w:r>
              <w:rPr>
                <w:color w:val="1E293B"/>
                <w:sz w:val="21"/>
                <w:szCs w:val="21"/>
              </w:rPr>
              <w:t>divided</w:t>
            </w:r>
            <w:proofErr w:type="gramEnd"/>
            <w:r>
              <w:rPr>
                <w:color w:val="1E293B"/>
                <w:sz w:val="21"/>
                <w:szCs w:val="21"/>
              </w:rPr>
              <w:t xml:space="preserve"> by interest expense. Shows how many times over the firm can pay its interest — higher is safer.</w:t>
            </w:r>
          </w:p>
        </w:tc>
      </w:tr>
      <w:tr w14:paraId="28CED3E5"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E3" w14:textId="77777777">
            <w:r>
              <w:rPr>
                <w:b/>
                <w:bCs/>
                <w:color w:val="1E2761"/>
                <w:sz w:val="21"/>
                <w:szCs w:val="21"/>
              </w:rPr>
              <w:t>Return on Equity (ROE)</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4" w14:textId="77777777">
            <w:r>
              <w:rPr>
                <w:color w:val="1E293B"/>
                <w:sz w:val="21"/>
                <w:szCs w:val="21"/>
              </w:rPr>
              <w:t xml:space="preserve">Net income </w:t>
            </w:r>
            <w:proofErr w:type="gramStart"/>
            <w:r>
              <w:rPr>
                <w:color w:val="1E293B"/>
                <w:sz w:val="21"/>
                <w:szCs w:val="21"/>
              </w:rPr>
              <w:t>divided</w:t>
            </w:r>
            <w:proofErr w:type="gramEnd"/>
            <w:r>
              <w:rPr>
                <w:color w:val="1E293B"/>
                <w:sz w:val="21"/>
                <w:szCs w:val="21"/>
              </w:rPr>
              <w:t xml:space="preserve"> by shareholders' equity. Measures how efficiently a company generates profit from equity capital.</w:t>
            </w:r>
          </w:p>
        </w:tc>
      </w:tr>
      <w:tr w14:paraId="28CED3E8"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6" w14:textId="77777777">
            <w:r>
              <w:rPr>
                <w:b/>
                <w:bCs/>
                <w:color w:val="1E2761"/>
                <w:sz w:val="21"/>
                <w:szCs w:val="21"/>
              </w:rPr>
              <w:t>Dilution</w:t>
            </w:r>
          </w:p>
        </w:tc>
        <w:tc>
          <w:tcPr>
            <w:tcW w:w="6760" w:type="dxa"/>
            <w:tcBorders>
              <w:top w:val="single" w:sz="4" w:space="0" w:color="CADCFC"/>
              <w:left w:val="single" w:sz="4" w:space="0" w:color="CADCFC"/>
              <w:bottom w:val="single" w:sz="4" w:space="0" w:color="CADCFC"/>
              <w:right w:val="single" w:sz="4" w:space="0" w:color="CADCFC"/>
            </w:tcBorders>
            <w:shd w:val="clear" w:color="auto" w:fill="F8FAFF"/>
            <w:tcMar>
              <w:top w:w="80" w:type="dxa"/>
              <w:left w:w="120" w:type="dxa"/>
              <w:bottom w:w="80" w:type="dxa"/>
              <w:right w:w="120" w:type="dxa"/>
            </w:tcMar>
            <w:vAlign w:val="center"/>
          </w:tcPr>
          <w:p w14:paraId="28CED3E7" w14:textId="77777777">
            <w:r>
              <w:rPr>
                <w:color w:val="1E293B"/>
                <w:sz w:val="21"/>
                <w:szCs w:val="21"/>
              </w:rPr>
              <w:t>When new shares are issued, each existing share represents a smaller percentage of the company — ROE and EPS often decline.</w:t>
            </w:r>
          </w:p>
        </w:tc>
      </w:tr>
      <w:tr w14:paraId="28CED3EB" w14:textId="77777777">
        <w:tblPrEx>
          <w:tblCellMar>
            <w:top w:w="0" w:type="dxa"/>
            <w:bottom w:w="0" w:type="dxa"/>
          </w:tblCellMar>
        </w:tblPrEx>
        <w:trPr>
          <w:cantSplit/>
        </w:trPr>
        <w:tc>
          <w:tcPr>
            <w:tcW w:w="2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E9" w14:textId="77777777">
            <w:r>
              <w:rPr>
                <w:b/>
                <w:bCs/>
                <w:color w:val="1E2761"/>
                <w:sz w:val="21"/>
                <w:szCs w:val="21"/>
              </w:rPr>
              <w:t>Lock-Up Period</w:t>
            </w:r>
          </w:p>
        </w:tc>
        <w:tc>
          <w:tcPr>
            <w:tcW w:w="67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EA" w14:textId="77777777">
            <w:r>
              <w:rPr>
                <w:color w:val="1E293B"/>
                <w:sz w:val="21"/>
                <w:szCs w:val="21"/>
              </w:rPr>
              <w:t>A post-IPO restriction (typically 90–180 days) preventing insiders from selling shares, protecting the stock price.</w:t>
            </w:r>
          </w:p>
        </w:tc>
      </w:tr>
    </w:tbl>
    <w:p w14:paraId="28CED3EC" w14:textId="77777777">
      <w:pPr>
        <w:spacing w:before="160"/>
      </w:pPr>
    </w:p>
    <w:p w14:paraId="28CED3ED" w14:textId="77777777">
      <w:pPr>
        <w:pBdr>
          <w:bottom w:val="single" w:sz="6" w:space="4" w:color="C9A84C"/>
        </w:pBdr>
        <w:spacing w:before="300" w:after="120"/>
      </w:pPr>
      <w:r>
        <w:rPr>
          <w:rFonts w:ascii="Georgia" w:eastAsia="Georgia" w:hAnsi="Georgia" w:cs="Georgia"/>
          <w:b/>
          <w:bCs/>
          <w:color w:val="1E2761"/>
          <w:sz w:val="28"/>
          <w:szCs w:val="28"/>
        </w:rPr>
        <w:t>Section 7 — Grading Rubric</w:t>
      </w:r>
    </w:p>
    <w:p w14:paraId="28CED3EE"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14:paraId="28CED3F2" w14:textId="77777777">
        <w:tblPrEx>
          <w:tblCellMar>
            <w:top w:w="0" w:type="dxa"/>
            <w:bottom w:w="0" w:type="dxa"/>
          </w:tblCellMar>
        </w:tblPrEx>
        <w:trPr>
          <w:tblHeader/>
          <w:cantSplit/>
        </w:trPr>
        <w:tc>
          <w:tcPr>
            <w:tcW w:w="36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EF" w14:textId="77777777">
            <w:pPr>
              <w:jc w:val="center"/>
            </w:pPr>
            <w:r>
              <w:rPr>
                <w:b/>
                <w:bCs/>
                <w:color w:val="FFFFFF"/>
                <w:sz w:val="20"/>
                <w:szCs w:val="20"/>
              </w:rPr>
              <w:t>Component</w:t>
            </w:r>
          </w:p>
        </w:tc>
        <w:tc>
          <w:tcPr>
            <w:tcW w:w="180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F0" w14:textId="77777777">
            <w:pPr>
              <w:jc w:val="center"/>
            </w:pPr>
            <w:r>
              <w:rPr>
                <w:b/>
                <w:bCs/>
                <w:color w:val="FFFFFF"/>
                <w:sz w:val="20"/>
                <w:szCs w:val="20"/>
              </w:rPr>
              <w:t>Points</w:t>
            </w:r>
          </w:p>
        </w:tc>
        <w:tc>
          <w:tcPr>
            <w:tcW w:w="3960" w:type="dxa"/>
            <w:tcBorders>
              <w:top w:val="single" w:sz="4" w:space="0" w:color="C9A84C"/>
              <w:left w:val="single" w:sz="4" w:space="0" w:color="C9A84C"/>
              <w:bottom w:val="single" w:sz="4" w:space="0" w:color="C9A84C"/>
              <w:right w:val="single" w:sz="4" w:space="0" w:color="C9A84C"/>
            </w:tcBorders>
            <w:shd w:val="clear" w:color="auto" w:fill="1E2761"/>
            <w:tcMar>
              <w:top w:w="100" w:type="dxa"/>
              <w:left w:w="120" w:type="dxa"/>
              <w:bottom w:w="100" w:type="dxa"/>
              <w:right w:w="120" w:type="dxa"/>
            </w:tcMar>
            <w:vAlign w:val="center"/>
          </w:tcPr>
          <w:p w14:paraId="28CED3F1" w14:textId="77777777">
            <w:pPr>
              <w:jc w:val="center"/>
            </w:pPr>
            <w:r>
              <w:rPr>
                <w:b/>
                <w:bCs/>
                <w:color w:val="FFFFFF"/>
                <w:sz w:val="20"/>
                <w:szCs w:val="20"/>
              </w:rPr>
              <w:t>What Earns Full Credit</w:t>
            </w:r>
          </w:p>
        </w:tc>
      </w:tr>
      <w:tr w14:paraId="28CED3F6" w14:textId="77777777">
        <w:tblPrEx>
          <w:tblCellMar>
            <w:top w:w="0" w:type="dxa"/>
            <w:bottom w:w="0" w:type="dxa"/>
          </w:tblCellMar>
        </w:tblPrEx>
        <w:trPr>
          <w:cantSplit/>
        </w:trPr>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F3" w14:textId="77777777">
            <w:r>
              <w:rPr>
                <w:b/>
                <w:bCs/>
                <w:color w:val="1E2761"/>
                <w:sz w:val="21"/>
                <w:szCs w:val="21"/>
              </w:rPr>
              <w:t>Tab 2: DDM Stock Price (P₀)</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4" w14:textId="77777777">
            <w:pPr>
              <w:jc w:val="center"/>
            </w:pPr>
            <w:r>
              <w:rPr>
                <w:b/>
                <w:bCs/>
                <w:color w:val="C9A84C"/>
              </w:rPr>
              <w:t>15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F5" w14:textId="77777777">
            <w:r>
              <w:rPr>
                <w:color w:val="334155"/>
                <w:sz w:val="20"/>
                <w:szCs w:val="20"/>
              </w:rPr>
              <w:t>Linked formula uses the stated DDM inputs and the denominator check passes</w:t>
            </w:r>
          </w:p>
        </w:tc>
      </w:tr>
      <w:tr w14:paraId="28CED3FA" w14:textId="77777777">
        <w:tblPrEx>
          <w:tblCellMar>
            <w:top w:w="0" w:type="dxa"/>
            <w:bottom w:w="0" w:type="dxa"/>
          </w:tblCellMar>
        </w:tblPrEx>
        <w:trPr>
          <w:cantSplit/>
        </w:trPr>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F7" w14:textId="77777777">
            <w:r>
              <w:rPr>
                <w:b/>
                <w:bCs/>
                <w:color w:val="1E2761"/>
                <w:sz w:val="21"/>
                <w:szCs w:val="21"/>
              </w:rPr>
              <w:t>Tab 2: FCF Enterprise Value &amp; Price</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8" w14:textId="77777777">
            <w:pPr>
              <w:jc w:val="center"/>
            </w:pPr>
            <w:r>
              <w:rPr>
                <w:b/>
                <w:bCs/>
                <w:color w:val="C9A84C"/>
              </w:rPr>
              <w:t>20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3F9" w14:textId="77777777">
            <w:r>
              <w:rPr>
                <w:color w:val="334155"/>
                <w:sz w:val="20"/>
                <w:szCs w:val="20"/>
              </w:rPr>
              <w:t>Enterprise value, pre-money equity value, and pre-IPO per-share bridge are linked and reconciled</w:t>
            </w:r>
          </w:p>
        </w:tc>
      </w:tr>
      <w:tr w14:paraId="28CED3FE" w14:textId="77777777">
        <w:tblPrEx>
          <w:tblCellMar>
            <w:top w:w="0" w:type="dxa"/>
            <w:bottom w:w="0" w:type="dxa"/>
          </w:tblCellMar>
        </w:tblPrEx>
        <w:trPr>
          <w:cantSplit/>
        </w:trPr>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3FB" w14:textId="77777777">
            <w:r>
              <w:rPr>
                <w:b/>
                <w:bCs/>
                <w:color w:val="1E2761"/>
                <w:sz w:val="21"/>
                <w:szCs w:val="21"/>
              </w:rPr>
              <w:t>Tab 2: Valuation Comparison Summary</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3FC" w14:textId="7777777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3FD" w14:textId="77777777">
            <w:r>
              <w:rPr>
                <w:color w:val="334155"/>
                <w:sz w:val="20"/>
                <w:szCs w:val="20"/>
              </w:rPr>
              <w:t>DDM, FCFF, P/E, and P/S are linked and compared with a reliability judgment</w:t>
            </w:r>
          </w:p>
        </w:tc>
      </w:tr>
      <w:tr w14:paraId="28CED402" w14:textId="77777777">
        <w:tblPrEx>
          <w:tblCellMar>
            <w:top w:w="0" w:type="dxa"/>
            <w:bottom w:w="0" w:type="dxa"/>
          </w:tblCellMar>
        </w:tblPrEx>
        <w:trPr>
          <w:cantSplit/>
        </w:trPr>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3FF" w14:textId="77777777">
            <w:r>
              <w:rPr>
                <w:b/>
                <w:bCs/>
                <w:color w:val="1E2761"/>
                <w:sz w:val="21"/>
                <w:szCs w:val="21"/>
              </w:rPr>
              <w:t>Tab 3: Post-IPO Balance Sheet Adjustments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0" w14:textId="7777777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01" w14:textId="77777777">
            <w:r>
              <w:rPr>
                <w:color w:val="334155"/>
                <w:sz w:val="20"/>
                <w:szCs w:val="20"/>
              </w:rPr>
              <w:t>All three post-transaction balance sheets reconcile with sources and uses</w:t>
            </w:r>
            <w:proofErr w:type="gramStart"/>
            <w:r>
              <w:rPr>
                <w:color w:val="334155"/>
                <w:sz w:val="20"/>
                <w:szCs w:val="20"/>
              </w:rPr>
            </w:r>
            <w:proofErr w:type="gramEnd"/>
            <w:r>
              <w:rPr>
                <w:color w:val="334155"/>
                <w:sz w:val="20"/>
                <w:szCs w:val="20"/>
              </w:rPr>
            </w:r>
          </w:p>
        </w:tc>
      </w:tr>
      <w:tr w14:paraId="28CED406" w14:textId="77777777">
        <w:tblPrEx>
          <w:tblCellMar>
            <w:top w:w="0" w:type="dxa"/>
            <w:bottom w:w="0" w:type="dxa"/>
          </w:tblCellMar>
        </w:tblPrEx>
        <w:trPr>
          <w:cantSplit/>
        </w:trPr>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403" w14:textId="77777777">
            <w:r>
              <w:rPr>
                <w:b/>
                <w:bCs/>
                <w:color w:val="1E2761"/>
                <w:sz w:val="21"/>
                <w:szCs w:val="21"/>
              </w:rPr>
              <w:t>Tab 3: Audited Ratios &amp; Per-Share Metrics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4" w14:textId="77777777">
            <w:pPr>
              <w:jc w:val="center"/>
            </w:pPr>
            <w:r>
              <w:rPr>
                <w:b/>
                <w:bCs/>
                <w:color w:val="C9A84C"/>
              </w:rPr>
              <w:t>20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405" w14:textId="77777777">
            <w:r>
              <w:rPr>
                <w:color w:val="334155"/>
                <w:sz w:val="20"/>
                <w:szCs w:val="20"/>
              </w:rPr>
              <w:t>Correct numerator and denominator for all nine metrics; formulas linked throughout</w:t>
            </w:r>
          </w:p>
        </w:tc>
      </w:tr>
      <w:tr w14:paraId="28CED40A" w14:textId="77777777">
        <w:tblPrEx>
          <w:tblCellMar>
            <w:top w:w="0" w:type="dxa"/>
            <w:bottom w:w="0" w:type="dxa"/>
          </w:tblCellMar>
        </w:tblPrEx>
        <w:trPr>
          <w:cantSplit/>
        </w:trPr>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407" w14:textId="77777777">
            <w:r>
              <w:rPr>
                <w:b/>
                <w:bCs/>
                <w:color w:val="1E2761"/>
                <w:sz w:val="21"/>
                <w:szCs w:val="21"/>
              </w:rPr>
              <w:t>Tab 3: Reflection Questions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8" w14:textId="7777777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09" w14:textId="77777777">
            <w:r>
              <w:rPr>
                <w:color w:val="334155"/>
                <w:sz w:val="20"/>
                <w:szCs w:val="20"/>
              </w:rPr>
              <w:t>Demonstrates conceptual understanding; no one-word answers</w:t>
            </w:r>
          </w:p>
        </w:tc>
      </w:tr>
      <w:tr w14:paraId="28CED40E" w14:textId="77777777">
        <w:tblPrEx>
          <w:tblCellMar>
            <w:top w:w="0" w:type="dxa"/>
            <w:bottom w:w="0" w:type="dxa"/>
          </w:tblCellMar>
        </w:tblPrEx>
        <w:trPr>
          <w:cantSplit/>
        </w:trPr>
        <w:tc>
          <w:tcPr>
            <w:tcW w:w="360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80" w:type="dxa"/>
            </w:tcMar>
            <w:vAlign w:val="center"/>
          </w:tcPr>
          <w:p w14:paraId="28CED40B" w14:textId="77777777">
            <w:r>
              <w:rPr>
                <w:b/>
                <w:bCs/>
                <w:color w:val="1E2761"/>
                <w:sz w:val="21"/>
                <w:szCs w:val="21"/>
              </w:rPr>
              <w:t>Tab 4: Sources, Uses, Balance Sheets &amp; Checks</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0C" w14:textId="77777777">
            <w:pPr>
              <w:jc w:val="center"/>
            </w:pPr>
            <w:r>
              <w:rPr>
                <w:b/>
                <w:bCs/>
                <w:color w:val="C9A84C"/>
              </w:rPr>
              <w:t>10 pts</w:t>
            </w:r>
          </w:p>
        </w:tc>
        <w:tc>
          <w:tcPr>
            <w:tcW w:w="3960" w:type="dxa"/>
            <w:tcBorders>
              <w:top w:val="single" w:sz="4" w:space="0" w:color="CADCFC"/>
              <w:left w:val="single" w:sz="4" w:space="0" w:color="CADCFC"/>
              <w:bottom w:val="single" w:sz="4" w:space="0" w:color="CADCFC"/>
              <w:right w:val="single" w:sz="4" w:space="0" w:color="CADCFC"/>
            </w:tcBorders>
            <w:shd w:val="clear" w:color="auto" w:fill="F4F6FB"/>
            <w:tcMar>
              <w:top w:w="80" w:type="dxa"/>
              <w:left w:w="120" w:type="dxa"/>
              <w:bottom w:w="80" w:type="dxa"/>
              <w:right w:w="120" w:type="dxa"/>
            </w:tcMar>
            <w:vAlign w:val="center"/>
          </w:tcPr>
          <w:p w14:paraId="28CED40D" w14:textId="77777777">
            <w:r>
              <w:rPr>
                <w:color w:val="334155"/>
                <w:sz w:val="20"/>
                <w:szCs w:val="20"/>
              </w:rPr>
              <w:t>All three scenarios reconcile proceeds, debt, cash, assets, equity, shares, and per-share outputs</w:t>
            </w:r>
          </w:p>
        </w:tc>
      </w:tr>
      <w:tr w14:paraId="28CED412" w14:textId="77777777">
        <w:tblPrEx>
          <w:tblCellMar>
            <w:top w:w="0" w:type="dxa"/>
            <w:bottom w:w="0" w:type="dxa"/>
          </w:tblCellMar>
        </w:tblPrEx>
        <w:trPr>
          <w:cantSplit/>
        </w:trPr>
        <w:tc>
          <w:tcPr>
            <w:tcW w:w="360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80" w:type="dxa"/>
            </w:tcMar>
            <w:vAlign w:val="center"/>
          </w:tcPr>
          <w:p w14:paraId="28CED40F" w14:textId="77777777">
            <w:r>
              <w:rPr>
                <w:b/>
                <w:bCs/>
                <w:color w:val="1E2761"/>
                <w:sz w:val="21"/>
                <w:szCs w:val="21"/>
              </w:rPr>
              <w:t>Tab 4: IPO Recommendation</w:t>
            </w:r>
          </w:p>
        </w:tc>
        <w:tc>
          <w:tcPr>
            <w:tcW w:w="1800" w:type="dxa"/>
            <w:tcBorders>
              <w:top w:val="single" w:sz="4" w:space="0" w:color="CADCFC"/>
              <w:left w:val="single" w:sz="4" w:space="0" w:color="CADCFC"/>
              <w:bottom w:val="single" w:sz="4" w:space="0" w:color="CADCFC"/>
              <w:right w:val="single" w:sz="4" w:space="0" w:color="CADCFC"/>
            </w:tcBorders>
            <w:shd w:val="clear" w:color="auto" w:fill="1E2761"/>
            <w:tcMar>
              <w:top w:w="80" w:type="dxa"/>
              <w:left w:w="80" w:type="dxa"/>
              <w:bottom w:w="80" w:type="dxa"/>
              <w:right w:w="80" w:type="dxa"/>
            </w:tcMar>
            <w:vAlign w:val="center"/>
          </w:tcPr>
          <w:p w14:paraId="28CED410" w14:textId="77777777">
            <w:pPr>
              <w:jc w:val="center"/>
            </w:pPr>
            <w:r>
              <w:rPr>
                <w:b/>
                <w:bCs/>
                <w:color w:val="C9A84C"/>
              </w:rPr>
              <w:t>5 pts</w:t>
            </w:r>
          </w:p>
        </w:tc>
        <w:tc>
          <w:tcPr>
            <w:tcW w:w="3960" w:type="dxa"/>
            <w:tcBorders>
              <w:top w:val="single" w:sz="4" w:space="0" w:color="CADCFC"/>
              <w:left w:val="single" w:sz="4" w:space="0" w:color="CADCFC"/>
              <w:bottom w:val="single" w:sz="4" w:space="0" w:color="CADCFC"/>
              <w:right w:val="single" w:sz="4" w:space="0" w:color="CADCFC"/>
            </w:tcBorders>
            <w:shd w:val="clear" w:color="auto" w:fill="FFFFFF"/>
            <w:tcMar>
              <w:top w:w="80" w:type="dxa"/>
              <w:left w:w="120" w:type="dxa"/>
              <w:bottom w:w="80" w:type="dxa"/>
              <w:right w:w="120" w:type="dxa"/>
            </w:tcMar>
            <w:vAlign w:val="center"/>
          </w:tcPr>
          <w:p w14:paraId="28CED411" w14:textId="77777777">
            <w:r>
              <w:rPr>
                <w:color w:val="334155"/>
                <w:sz w:val="20"/>
                <w:szCs w:val="20"/>
              </w:rPr>
              <w:t>Price and deployment recommendation cites valuation, reconciliation, per-share evidence, risk, and a monitoring trigger</w:t>
            </w:r>
          </w:p>
        </w:tc>
      </w:tr>
    </w:tbl>
    <w:p w14:paraId="28CED413" w14:textId="777777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416" w14:textId="77777777">
        <w:tblPrEx>
          <w:tblCellMar>
            <w:top w:w="0" w:type="dxa"/>
            <w:bottom w:w="0" w:type="dxa"/>
          </w:tblCellMar>
        </w:tblPrEx>
        <w:trPr>
          <w:cantSplit/>
        </w:trPr>
        <w:tc>
          <w:tcPr>
            <w:tcW w:w="9360" w:type="dxa"/>
            <w:tcBorders>
              <w:top w:val="single" w:sz="4" w:space="0" w:color="1E2761"/>
              <w:left w:val="single" w:sz="4" w:space="0" w:color="1E2761"/>
              <w:bottom w:val="single" w:sz="4" w:space="0" w:color="1E2761"/>
              <w:right w:val="single" w:sz="4" w:space="0" w:color="1E2761"/>
            </w:tcBorders>
            <w:shd w:val="clear" w:color="auto" w:fill="EFF6FF"/>
            <w:tcMar>
              <w:top w:w="160" w:type="dxa"/>
              <w:left w:w="200" w:type="dxa"/>
              <w:bottom w:w="160" w:type="dxa"/>
              <w:right w:w="200" w:type="dxa"/>
            </w:tcMar>
          </w:tcPr>
          <w:p w14:paraId="28CED414" w14:textId="77777777">
            <w:pPr>
              <w:spacing w:after="60"/>
            </w:pPr>
            <w:r>
              <w:rPr>
                <w:rFonts w:ascii="Georgia" w:eastAsia="Georgia" w:hAnsi="Georgia" w:cs="Georgia"/>
                <w:b/>
                <w:bCs/>
                <w:color w:val="1E2761"/>
                <w:sz w:val="26"/>
                <w:szCs w:val="26"/>
              </w:rPr>
              <w:t>Total: 100 Points</w:t>
            </w:r>
          </w:p>
          <w:p w14:paraId="28CED415" w14:textId="77777777">
            <w:pPr>
              <w:spacing w:before="60" w:after="60"/>
            </w:pPr>
            <w:r>
              <w:rPr>
                <w:color w:val="1E293B"/>
              </w:rPr>
              <w:lastRenderedPageBreak/>
              <w:t>A note on partial credit: If your formula is structurally correct but references the wrong cell, you may earn up to 70% of available points for that item. Always double-check that your formulas reference the correct rows and tabs.</w:t>
            </w:r>
          </w:p>
        </w:tc>
      </w:tr>
    </w:tbl>
    <w:p w14:paraId="28CED417" w14:textId="77777777">
      <w:pPr>
        <w:spacing w:before="160"/>
      </w:pPr>
    </w:p>
    <w:p w14:paraId="28CED418" w14:textId="77777777">
      <w:pPr>
        <w:pBdr>
          <w:bottom w:val="single" w:sz="6" w:space="4" w:color="C9A84C"/>
        </w:pBdr>
        <w:spacing w:before="300" w:after="120"/>
      </w:pPr>
      <w:r>
        <w:rPr>
          <w:rFonts w:ascii="Georgia" w:eastAsia="Georgia" w:hAnsi="Georgia" w:cs="Georgia"/>
          <w:b/>
          <w:bCs/>
          <w:color w:val="1E2761"/>
          <w:sz w:val="28"/>
          <w:szCs w:val="28"/>
        </w:rPr>
        <w:t>Section 8 — Tips for Success &amp; Common Mistakes to Avoid</w:t>
      </w:r>
    </w:p>
    <w:p w14:paraId="28CED419" w14:textId="77777777">
      <w:pPr>
        <w:spacing w:before="60"/>
      </w:pPr>
    </w:p>
    <w:p w14:paraId="28CED41A" w14:textId="77777777">
      <w:pPr>
        <w:spacing w:before="200" w:after="80"/>
      </w:pPr>
      <w:r>
        <w:rPr>
          <w:b/>
          <w:bCs/>
          <w:color w:val="1E2761"/>
          <w:sz w:val="24"/>
          <w:szCs w:val="24"/>
        </w:rPr>
        <w:t>Do These Things</w:t>
      </w:r>
    </w:p>
    <w:p w14:paraId="28CED41B" w14:textId="77777777">
      <w:pPr>
        <w:pStyle w:val="ListParagraph"/>
        <w:numPr>
          <w:ilvl w:val="0"/>
          <w:numId w:val="2"/>
        </w:numPr>
        <w:spacing w:before="40" w:after="40"/>
      </w:pPr>
      <w:r>
        <w:rPr>
          <w:b/>
          <w:bCs/>
          <w:color w:val="1E2761"/>
        </w:rPr>
        <w:t>✓ Always use cell references instead of typing case numbers into formulas (for example, =revenue_cell-cost_cell).</w:t>
      </w:r>
      <w:r>
        <w:rPr>
          <w:b/>
          <w:bCs/>
          <w:color w:val="1E2761"/>
        </w:rPr>
      </w:r>
      <w:r>
        <w:rPr>
          <w:color w:val="1E293B"/>
        </w:rPr>
      </w:r>
    </w:p>
    <w:p w14:paraId="28CED41C" w14:textId="77777777">
      <w:pPr>
        <w:pStyle w:val="ListParagraph"/>
        <w:numPr>
          <w:ilvl w:val="0"/>
          <w:numId w:val="2"/>
        </w:numPr>
        <w:spacing w:before="40" w:after="40"/>
      </w:pPr>
      <w:r>
        <w:rPr>
          <w:b/>
          <w:bCs/>
          <w:color w:val="1E2761"/>
        </w:rPr>
        <w:t>✓</w:t>
      </w:r>
      <w:r>
        <w:rPr>
          <w:b/>
          <w:bCs/>
          <w:color w:val="1E2761"/>
        </w:rPr>
        <w:t xml:space="preserve"> </w:t>
      </w:r>
      <w:r>
        <w:rPr>
          <w:color w:val="1E293B"/>
        </w:rPr>
        <w:t>Work through the tabs in order — Tab 3 references data generated by your Tab 2 work.</w:t>
      </w:r>
    </w:p>
    <w:p w14:paraId="28CED41D" w14:textId="77777777">
      <w:pPr>
        <w:pStyle w:val="ListParagraph"/>
        <w:numPr>
          <w:ilvl w:val="0"/>
          <w:numId w:val="2"/>
        </w:numPr>
        <w:spacing w:before="40" w:after="40"/>
      </w:pPr>
      <w:r>
        <w:rPr>
          <w:b/>
          <w:bCs/>
          <w:color w:val="1E2761"/>
        </w:rPr>
        <w:t>✓ Check the order of magnitude, sign, units, and denominator of every output. If a result looks implausible, trace its precedents instead of guessing the expected answer.</w:t>
      </w:r>
      <w:r>
        <w:rPr>
          <w:b/>
          <w:bCs/>
          <w:color w:val="1E2761"/>
        </w:rPr>
      </w:r>
      <w:r>
        <w:rPr>
          <w:color w:val="1E293B"/>
        </w:rPr>
      </w:r>
    </w:p>
    <w:p w14:paraId="28CED41E" w14:textId="77777777">
      <w:pPr>
        <w:pStyle w:val="ListParagraph"/>
        <w:numPr>
          <w:ilvl w:val="0"/>
          <w:numId w:val="2"/>
        </w:numPr>
        <w:spacing w:before="40" w:after="40"/>
      </w:pPr>
      <w:r>
        <w:rPr>
          <w:b/>
          <w:bCs/>
          <w:color w:val="1E2761"/>
        </w:rPr>
        <w:t>✓ For scenario ratios, link to the reconciled scenario balance sheets and earnings schedule—not directly to the pre-IPO source data.</w:t>
      </w:r>
      <w:r>
        <w:rPr>
          <w:b/>
          <w:bCs/>
          <w:color w:val="1E2761"/>
        </w:rPr>
      </w:r>
      <w:r>
        <w:rPr>
          <w:color w:val="1E293B"/>
        </w:rPr>
      </w:r>
    </w:p>
    <w:p w14:paraId="28CED41F" w14:textId="77777777">
      <w:pPr>
        <w:pStyle w:val="ListParagraph"/>
        <w:numPr>
          <w:ilvl w:val="0"/>
          <w:numId w:val="2"/>
        </w:numPr>
        <w:spacing w:before="40" w:after="40"/>
      </w:pPr>
      <w:r>
        <w:rPr>
          <w:b/>
          <w:bCs/>
          <w:color w:val="1E2761"/>
        </w:rPr>
        <w:t>✓</w:t>
      </w:r>
      <w:r>
        <w:rPr>
          <w:b/>
          <w:bCs/>
          <w:color w:val="1E2761"/>
        </w:rPr>
        <w:t xml:space="preserve"> </w:t>
      </w:r>
      <w:r>
        <w:rPr>
          <w:color w:val="1E293B"/>
        </w:rPr>
        <w:t xml:space="preserve">Save your file frequently. Use </w:t>
      </w:r>
      <w:proofErr w:type="spellStart"/>
      <w:r>
        <w:rPr>
          <w:color w:val="1E293B"/>
        </w:rPr>
        <w:t>Ctrl+S</w:t>
      </w:r>
      <w:proofErr w:type="spellEnd"/>
      <w:r>
        <w:rPr>
          <w:color w:val="1E293B"/>
        </w:rPr>
        <w:t xml:space="preserve"> after completing each tab.</w:t>
      </w:r>
    </w:p>
    <w:p w14:paraId="28CED420" w14:textId="77777777">
      <w:pPr>
        <w:spacing w:before="80"/>
      </w:pPr>
    </w:p>
    <w:p w14:paraId="28CED421" w14:textId="77777777">
      <w:pPr>
        <w:spacing w:before="200" w:after="80"/>
      </w:pPr>
      <w:r>
        <w:rPr>
          <w:b/>
          <w:bCs/>
          <w:color w:val="1E2761"/>
          <w:sz w:val="24"/>
          <w:szCs w:val="24"/>
        </w:rPr>
        <w:t>Avoid These Common Mistakes</w:t>
      </w:r>
    </w:p>
    <w:p w14:paraId="28CED422" w14:textId="77777777">
      <w:pPr>
        <w:pStyle w:val="ListParagraph"/>
        <w:numPr>
          <w:ilvl w:val="0"/>
          <w:numId w:val="2"/>
        </w:numPr>
        <w:spacing w:before="40" w:after="40"/>
      </w:pPr>
      <w:r>
        <w:rPr>
          <w:b/>
          <w:bCs/>
          <w:color w:val="1E2761"/>
        </w:rPr>
        <w:t>✗</w:t>
      </w:r>
      <w:r>
        <w:rPr>
          <w:b/>
          <w:bCs/>
          <w:color w:val="1E2761"/>
        </w:rPr>
        <w:t xml:space="preserve"> </w:t>
      </w:r>
      <w:r>
        <w:rPr>
          <w:color w:val="1E293B"/>
        </w:rPr>
        <w:t>Do not hardcode numbers in yellow cells. Even if your answer is numerically correct, hardcoding will cost you points.</w:t>
      </w:r>
    </w:p>
    <w:p w14:paraId="28CED423" w14:textId="77777777">
      <w:pPr>
        <w:pStyle w:val="ListParagraph"/>
        <w:numPr>
          <w:ilvl w:val="0"/>
          <w:numId w:val="2"/>
        </w:numPr>
        <w:spacing w:before="40" w:after="40"/>
      </w:pPr>
      <w:r>
        <w:rPr>
          <w:b/>
          <w:bCs/>
          <w:color w:val="1E2761"/>
        </w:rPr>
        <w:t>✗</w:t>
      </w:r>
      <w:r>
        <w:rPr>
          <w:b/>
          <w:bCs/>
          <w:color w:val="1E2761"/>
        </w:rPr>
        <w:t xml:space="preserve"> </w:t>
      </w:r>
      <w:r>
        <w:rPr>
          <w:color w:val="1E293B"/>
        </w:rPr>
        <w:t>Don't confuse Total Debt ($300M) with Net Debt ($255M). Net Debt = Total Debt – Cash = $300M – $45M.</w:t>
      </w:r>
    </w:p>
    <w:p w14:paraId="28CED424" w14:textId="77777777">
      <w:pPr>
        <w:pStyle w:val="ListParagraph"/>
        <w:numPr>
          <w:ilvl w:val="0"/>
          <w:numId w:val="2"/>
        </w:numPr>
        <w:spacing w:before="40" w:after="40"/>
      </w:pPr>
      <w:r>
        <w:rPr>
          <w:b/>
          <w:bCs/>
          <w:color w:val="1E2761"/>
        </w:rPr>
        <w:t>✗ Keep book equity, valuation equity, cash, and proceeds distinct. New book equity follows net primary proceeds; valuation equity follows the enterprise-to-equity bridge.</w:t>
      </w:r>
      <w:r>
        <w:rPr>
          <w:b/>
          <w:bCs/>
          <w:color w:val="1E2761"/>
        </w:rPr>
      </w:r>
      <w:r>
        <w:rPr>
          <w:color w:val="1E293B"/>
        </w:rPr>
      </w:r>
      <w:proofErr w:type="gramStart"/>
      <w:r>
        <w:rPr>
          <w:color w:val="1E293B"/>
        </w:rPr>
      </w:r>
      <w:proofErr w:type="gramEnd"/>
      <w:r>
        <w:rPr>
          <w:color w:val="1E293B"/>
        </w:rPr>
      </w:r>
      <w:proofErr w:type="gramStart"/>
      <w:r>
        <w:rPr>
          <w:color w:val="1E293B"/>
        </w:rPr>
      </w:r>
      <w:proofErr w:type="gramEnd"/>
      <w:r>
        <w:rPr>
          <w:color w:val="1E293B"/>
        </w:rPr>
      </w:r>
    </w:p>
    <w:p w14:paraId="28CED425" w14:textId="77777777">
      <w:pPr>
        <w:pStyle w:val="ListParagraph"/>
        <w:numPr>
          <w:ilvl w:val="0"/>
          <w:numId w:val="2"/>
        </w:numPr>
        <w:spacing w:before="40" w:after="40"/>
      </w:pPr>
      <w:r>
        <w:rPr>
          <w:b/>
          <w:bCs/>
          <w:color w:val="1E2761"/>
        </w:rPr>
        <w:t>✗ A debt repayment cannot exceed existing debt. If a scenario produces zero interest expense, return N/M for interest coverage and explain the denominator.</w:t>
      </w:r>
      <w:r>
        <w:rPr>
          <w:b/>
          <w:bCs/>
          <w:color w:val="1E2761"/>
        </w:rPr>
      </w:r>
      <w:r>
        <w:rPr>
          <w:color w:val="1E293B"/>
        </w:rPr>
      </w:r>
      <w:proofErr w:type="gramStart"/>
      <w:r>
        <w:rPr>
          <w:color w:val="1E293B"/>
        </w:rPr>
      </w:r>
      <w:proofErr w:type="gramEnd"/>
      <w:r>
        <w:rPr>
          <w:color w:val="1E293B"/>
        </w:rPr>
      </w:r>
    </w:p>
    <w:p w14:paraId="28CED426" w14:textId="77777777">
      <w:pPr>
        <w:pStyle w:val="ListParagraph"/>
        <w:numPr>
          <w:ilvl w:val="0"/>
          <w:numId w:val="2"/>
        </w:numPr>
        <w:spacing w:before="40" w:after="40"/>
      </w:pPr>
      <w:r>
        <w:rPr>
          <w:b/>
          <w:bCs/>
          <w:color w:val="1E2761"/>
        </w:rPr>
        <w:t>✗</w:t>
      </w:r>
      <w:r>
        <w:rPr>
          <w:b/>
          <w:bCs/>
          <w:color w:val="1E2761"/>
        </w:rPr>
        <w:t xml:space="preserve"> </w:t>
      </w:r>
      <w:r>
        <w:rPr>
          <w:color w:val="1E293B"/>
        </w:rPr>
        <w:t>Don't skip the interpretation sentences. These are graded and worth more than you might expect.</w:t>
      </w:r>
    </w:p>
    <w:p w14:paraId="28CED427" w14:textId="77777777">
      <w:pPr>
        <w:spacing w:before="160"/>
      </w:pPr>
    </w:p>
    <w:p w14:paraId="28CED428" w14:textId="77777777">
      <w:pPr>
        <w:pBdr>
          <w:bottom w:val="single" w:sz="6" w:space="4" w:color="C9A84C"/>
        </w:pBdr>
        <w:spacing w:before="300" w:after="120"/>
      </w:pPr>
      <w:r>
        <w:rPr>
          <w:rFonts w:ascii="Georgia" w:eastAsia="Georgia" w:hAnsi="Georgia" w:cs="Georgia"/>
          <w:b/>
          <w:bCs/>
          <w:color w:val="1E2761"/>
          <w:sz w:val="28"/>
          <w:szCs w:val="28"/>
        </w:rPr>
        <w:t>Section 9 — Submission Instructions</w:t>
      </w:r>
    </w:p>
    <w:p w14:paraId="28CED429" w14:textId="777777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14:paraId="28CED433" w14:textId="77777777">
        <w:tblPrEx>
          <w:tblCellMar>
            <w:top w:w="0" w:type="dxa"/>
            <w:bottom w:w="0" w:type="dxa"/>
          </w:tblCellMar>
        </w:tblPrEx>
        <w:trPr>
          <w:cantSplit/>
        </w:trPr>
        <w:tc>
          <w:tcPr>
            <w:tcW w:w="9360" w:type="dxa"/>
            <w:tcBorders>
              <w:top w:val="single" w:sz="4" w:space="0" w:color="CADCFC"/>
              <w:left w:val="single" w:sz="4" w:space="0" w:color="CADCFC"/>
              <w:bottom w:val="single" w:sz="4" w:space="0" w:color="CADCFC"/>
              <w:right w:val="single" w:sz="4" w:space="0" w:color="CADCFC"/>
            </w:tcBorders>
            <w:shd w:val="clear" w:color="auto" w:fill="F4F6FB"/>
            <w:tcMar>
              <w:top w:w="160" w:type="dxa"/>
              <w:left w:w="200" w:type="dxa"/>
              <w:bottom w:w="160" w:type="dxa"/>
              <w:right w:w="200" w:type="dxa"/>
            </w:tcMar>
          </w:tcPr>
          <w:p w14:paraId="28CED42A" w14:textId="77777777">
            <w:pPr>
              <w:spacing w:after="80"/>
            </w:pPr>
            <w:r>
              <w:rPr>
                <w:rFonts w:ascii="Georgia" w:eastAsia="Georgia" w:hAnsi="Georgia" w:cs="Georgia"/>
                <w:b/>
                <w:bCs/>
                <w:color w:val="1E2761"/>
                <w:sz w:val="24"/>
                <w:szCs w:val="24"/>
              </w:rPr>
              <w:t>Before You Submit — Checklist</w:t>
            </w:r>
          </w:p>
          <w:p w14:paraId="28CED42B" w14:textId="77777777">
            <w:pPr>
              <w:pStyle w:val="ListParagraph"/>
              <w:numPr>
                <w:ilvl w:val="0"/>
                <w:numId w:val="2"/>
              </w:numPr>
              <w:spacing w:before="60" w:after="60"/>
            </w:pPr>
            <w:r>
              <w:rPr>
                <w:color w:val="1E293B"/>
              </w:rPr>
              <w:t>All yellow calculation cells contain linked formulas; written-response cells contain complete evidence-based analysis</w:t>
            </w:r>
          </w:p>
          <w:p w14:paraId="28CED42C" w14:textId="77777777">
            <w:pPr>
              <w:pStyle w:val="ListParagraph"/>
              <w:numPr>
                <w:ilvl w:val="0"/>
                <w:numId w:val="2"/>
              </w:numPr>
              <w:spacing w:before="60" w:after="60"/>
            </w:pPr>
            <w:r>
              <w:rPr>
                <w:color w:val="1E293B"/>
              </w:rPr>
              <w:t>Tab 2 shows DDM, FCFF, P/E, and P/S values, comparison text, and PASS valuation checks</w:t>
            </w:r>
          </w:p>
          <w:p w14:paraId="72E9C0B7" w14:textId="01738250">
            <w:pPr>
              <w:pStyle w:val="ListParagraph"/>
              <w:numPr>
                <w:ilvl w:val="0"/>
                <w:numId w:val="2"/>
              </w:numPr>
              <w:spacing w:before="60" w:after="60"/>
            </w:pPr>
            <w:r>
              <w:t>Tab 2A shows reconciled scenario earnings, taxes, net income, EPS, and PASS identity checks</w:t>
            </w:r>
          </w:p>
          <w:p w14:paraId="28CED42D" w14:textId="77777777">
            <w:pPr>
              <w:pStyle w:val="ListParagraph"/>
              <w:numPr>
                <w:ilvl w:val="0"/>
                <w:numId w:val="2"/>
              </w:numPr>
              <w:spacing w:before="60" w:after="60"/>
            </w:pPr>
            <w:r>
              <w:rPr>
                <w:color w:val="1E293B"/>
              </w:rPr>
              <w:t>Tab 3 shows all nine audited metrics for the pre-IPO case and all three scenarios</w:t>
            </w:r>
          </w:p>
          <w:p w14:paraId="28CED42E" w14:textId="77777777">
            <w:pPr>
              <w:pStyle w:val="ListParagraph"/>
              <w:numPr>
                <w:ilvl w:val="0"/>
                <w:numId w:val="2"/>
              </w:numPr>
              <w:spacing w:before="60" w:after="60"/>
            </w:pPr>
            <w:r>
              <w:rPr>
                <w:color w:val="1E293B"/>
              </w:rPr>
              <w:t>Tab 4 shows all three sources-and-uses schedules, balance sheets, per-share bridges, PASS checks, and the final recommendation</w:t>
            </w:r>
          </w:p>
          <w:p w14:paraId="28CED42F" w14:textId="77777777">
            <w:pPr>
              <w:pStyle w:val="ListParagraph"/>
              <w:numPr>
                <w:ilvl w:val="0"/>
                <w:numId w:val="2"/>
              </w:numPr>
              <w:spacing w:before="60" w:after="60"/>
            </w:pPr>
            <w:r>
              <w:rPr>
                <w:color w:val="1E293B"/>
              </w:rPr>
              <w:t>Your file is saved as</w:t>
            </w:r>
            <w:proofErr w:type="gramStart"/>
            <w:r>
              <w:rPr>
                <w:color w:val="1E293B"/>
              </w:rPr>
              <w:t>:  LastName_FirstName_ApexIPO.xlsx</w:t>
            </w:r>
            <w:proofErr w:type="gramEnd"/>
          </w:p>
          <w:p w14:paraId="28CED430" w14:textId="77777777">
            <w:pPr>
              <w:spacing w:before="80"/>
            </w:pPr>
          </w:p>
          <w:p w14:paraId="28CED431" w14:textId="0CB28EAE">
            <w:pPr>
              <w:spacing w:after="40"/>
            </w:pPr>
            <w:r>
              <w:rPr>
                <w:b/>
                <w:bCs/>
                <w:color w:val="1E2761"/>
              </w:rPr>
              <w:t>Submit to:</w:t>
            </w:r>
            <w:r>
              <w:rPr>
                <w:color w:val="1E293B"/>
              </w:rPr>
              <w:t xml:space="preserve">  </w:t>
            </w:r>
            <w:r>
              <w:rPr>
                <w:color w:val="1E293B"/>
              </w:rPr>
              <w:t>Canvas</w:t>
            </w:r>
            <w:r>
              <w:rPr>
                <w:color w:val="1E293B"/>
              </w:rPr>
              <w:t xml:space="preserve"> → Assignments → Chapter 7 — Apex IPO Valuation</w:t>
            </w:r>
          </w:p>
          <w:p w14:paraId="28CED432" w14:textId="6D7806AF">
            <w:r>
              <w:rPr>
                <w:b/>
                <w:bCs/>
                <w:color w:val="1E2761"/>
              </w:rPr>
              <w:t>Due:</w:t>
            </w:r>
            <w:r>
              <w:rPr>
                <w:color w:val="1E293B"/>
              </w:rPr>
              <w:t xml:space="preserve">  Next class </w:t>
            </w:r>
          </w:p>
        </w:tc>
      </w:tr>
    </w:tbl>
    <w:p w14:paraId="28CED434" w14:textId="77777777">
      <w:pPr>
        <w:spacing w:before="160"/>
      </w:pPr>
    </w:p>
    <w:p w14:paraId="28CED435" w14:textId="77777777">
      <w:pPr>
        <w:pBdr>
          <w:top w:val="single" w:sz="4" w:space="6" w:color="CADCFC"/>
        </w:pBdr>
        <w:spacing w:before="120"/>
        <w:jc w:val="center"/>
      </w:pPr>
      <w:r>
        <w:rPr>
          <w:color w:val="94A3B8"/>
          <w:sz w:val="18"/>
          <w:szCs w:val="18"/>
        </w:rPr>
        <w:t xml:space="preserve">BUS 311 Corporate </w:t>
      </w:r>
      <w:proofErr w:type="gramStart"/>
      <w:r>
        <w:rPr>
          <w:color w:val="94A3B8"/>
          <w:sz w:val="18"/>
          <w:szCs w:val="18"/>
        </w:rPr>
        <w:t>Finance  |</w:t>
      </w:r>
      <w:proofErr w:type="gramEnd"/>
      <w:r>
        <w:rPr>
          <w:color w:val="94A3B8"/>
          <w:sz w:val="18"/>
          <w:szCs w:val="18"/>
        </w:rPr>
        <w:t xml:space="preserve">  Brealey, Myers &amp; Marcus — Fundamentals of Corporate Finance, Chapter </w:t>
      </w:r>
      <w:proofErr w:type="gramStart"/>
      <w:r>
        <w:rPr>
          <w:color w:val="94A3B8"/>
          <w:sz w:val="18"/>
          <w:szCs w:val="18"/>
        </w:rPr>
        <w:t>7  |</w:t>
      </w:r>
      <w:proofErr w:type="gramEnd"/>
      <w:r>
        <w:rPr>
          <w:color w:val="94A3B8"/>
          <w:sz w:val="18"/>
          <w:szCs w:val="18"/>
        </w:rPr>
        <w:t xml:space="preserve">  Apex Technology Corp. is a fictional company created for instructional purposes.</w:t>
      </w:r>
    </w:p>
    <w:sectPr>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26E4" w14:textId="77777777">
      <w:r>
        <w:separator/>
      </w:r>
    </w:p>
  </w:endnote>
  <w:endnote w:type="continuationSeparator" w:id="0">
    <w:p w14:paraId="30CB68C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ED439" w14:textId="77777777">
    <w:pPr>
      <w:pBdr>
        <w:top w:val="single" w:sz="4" w:space="4" w:color="CADCFC"/>
      </w:pBdr>
      <w:tabs>
        <w:tab w:val="right" w:pos="9026"/>
      </w:tabs>
    </w:pPr>
    <w:r>
      <w:rPr>
        <w:color w:val="94A3B8"/>
        <w:sz w:val="18"/>
        <w:szCs w:val="18"/>
      </w:rPr>
      <w:t>Apex Technology IPO Valuation Assignment</w:t>
    </w:r>
    <w:r>
      <w:rPr>
        <w:color w:val="94A3B8"/>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B17E" w14:textId="77777777">
      <w:r>
        <w:separator/>
      </w:r>
    </w:p>
  </w:footnote>
  <w:footnote w:type="continuationSeparator" w:id="0">
    <w:p w14:paraId="7209575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14:paraId="28CED438"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E2761"/>
          <w:tcMar>
            <w:top w:w="80" w:type="dxa"/>
            <w:left w:w="160" w:type="dxa"/>
            <w:bottom w:w="80" w:type="dxa"/>
            <w:right w:w="80" w:type="dxa"/>
          </w:tcMar>
        </w:tcPr>
        <w:p w14:paraId="28CED436" w14:textId="77777777">
          <w:r>
            <w:rPr>
              <w:color w:val="FFFFFF"/>
              <w:sz w:val="18"/>
              <w:szCs w:val="18"/>
            </w:rPr>
            <w:t xml:space="preserve">BUS 311 Corporate </w:t>
          </w:r>
          <w:proofErr w:type="gramStart"/>
          <w:r>
            <w:rPr>
              <w:color w:val="FFFFFF"/>
              <w:sz w:val="18"/>
              <w:szCs w:val="18"/>
            </w:rPr>
            <w:t>Finance  |</w:t>
          </w:r>
          <w:proofErr w:type="gramEnd"/>
          <w:r>
            <w:rPr>
              <w:color w:val="FFFFFF"/>
              <w:sz w:val="18"/>
              <w:szCs w:val="18"/>
            </w:rPr>
            <w:t xml:space="preserve">  Apex Technology Corp. — IPO Assignment</w:t>
          </w:r>
        </w:p>
      </w:tc>
      <w:tc>
        <w:tcPr>
          <w:tcW w:w="3080" w:type="dxa"/>
          <w:tcBorders>
            <w:top w:val="none" w:sz="0" w:space="0" w:color="FFFFFF"/>
            <w:left w:val="none" w:sz="0" w:space="0" w:color="FFFFFF"/>
            <w:bottom w:val="none" w:sz="0" w:space="0" w:color="FFFFFF"/>
            <w:right w:val="none" w:sz="0" w:space="0" w:color="FFFFFF"/>
          </w:tcBorders>
          <w:shd w:val="clear" w:color="auto" w:fill="C9A84C"/>
          <w:tcMar>
            <w:top w:w="80" w:type="dxa"/>
            <w:left w:w="80" w:type="dxa"/>
            <w:bottom w:w="80" w:type="dxa"/>
            <w:right w:w="160" w:type="dxa"/>
          </w:tcMar>
        </w:tcPr>
        <w:p w14:paraId="28CED437" w14:textId="77777777">
          <w:pPr>
            <w:jc w:val="right"/>
          </w:pPr>
          <w:r>
            <w:rPr>
              <w:b/>
              <w:bCs/>
              <w:color w:val="1E2761"/>
              <w:sz w:val="18"/>
              <w:szCs w:val="18"/>
            </w:rPr>
            <w:t>Chapter 7: Equity Valuation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30D"/>
    <w:multiLevelType w:val="hybridMultilevel"/>
    <w:tmpl w:val="8B76B910"/>
    <w:lvl w:ilvl="0" w:tplc="FFFFFFFF">
      <w:start w:val="1"/>
      <w:numFmt w:val="decimal"/>
      <w:lvlText w:val="%1."/>
      <w:lvlJc w:val="left"/>
      <w:pPr>
        <w:ind w:left="54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7F4C52"/>
    <w:multiLevelType w:val="hybridMultilevel"/>
    <w:tmpl w:val="2320F0A8"/>
    <w:lvl w:ilvl="0" w:tplc="13CE0ABC">
      <w:start w:val="1"/>
      <w:numFmt w:val="bullet"/>
      <w:lvlText w:val="●"/>
      <w:lvlJc w:val="left"/>
      <w:pPr>
        <w:ind w:left="720" w:hanging="360"/>
      </w:pPr>
    </w:lvl>
    <w:lvl w:ilvl="1" w:tplc="0EF083C6">
      <w:start w:val="1"/>
      <w:numFmt w:val="bullet"/>
      <w:lvlText w:val="○"/>
      <w:lvlJc w:val="left"/>
      <w:pPr>
        <w:ind w:left="1440" w:hanging="360"/>
      </w:pPr>
    </w:lvl>
    <w:lvl w:ilvl="2" w:tplc="BF92C000">
      <w:start w:val="1"/>
      <w:numFmt w:val="bullet"/>
      <w:lvlText w:val="■"/>
      <w:lvlJc w:val="left"/>
      <w:pPr>
        <w:ind w:left="2160" w:hanging="360"/>
      </w:pPr>
    </w:lvl>
    <w:lvl w:ilvl="3" w:tplc="3B7EE30E">
      <w:start w:val="1"/>
      <w:numFmt w:val="bullet"/>
      <w:lvlText w:val="●"/>
      <w:lvlJc w:val="left"/>
      <w:pPr>
        <w:ind w:left="2880" w:hanging="360"/>
      </w:pPr>
    </w:lvl>
    <w:lvl w:ilvl="4" w:tplc="55EE16C2">
      <w:start w:val="1"/>
      <w:numFmt w:val="bullet"/>
      <w:lvlText w:val="○"/>
      <w:lvlJc w:val="left"/>
      <w:pPr>
        <w:ind w:left="3600" w:hanging="360"/>
      </w:pPr>
    </w:lvl>
    <w:lvl w:ilvl="5" w:tplc="6BAAF28E">
      <w:start w:val="1"/>
      <w:numFmt w:val="bullet"/>
      <w:lvlText w:val="■"/>
      <w:lvlJc w:val="left"/>
      <w:pPr>
        <w:ind w:left="4320" w:hanging="360"/>
      </w:pPr>
    </w:lvl>
    <w:lvl w:ilvl="6" w:tplc="C3622618">
      <w:start w:val="1"/>
      <w:numFmt w:val="bullet"/>
      <w:lvlText w:val="●"/>
      <w:lvlJc w:val="left"/>
      <w:pPr>
        <w:ind w:left="5040" w:hanging="360"/>
      </w:pPr>
    </w:lvl>
    <w:lvl w:ilvl="7" w:tplc="F1F83B7C">
      <w:start w:val="1"/>
      <w:numFmt w:val="bullet"/>
      <w:lvlText w:val="●"/>
      <w:lvlJc w:val="left"/>
      <w:pPr>
        <w:ind w:left="5760" w:hanging="360"/>
      </w:pPr>
    </w:lvl>
    <w:lvl w:ilvl="8" w:tplc="7BA4ADAA">
      <w:start w:val="1"/>
      <w:numFmt w:val="bullet"/>
      <w:lvlText w:val="●"/>
      <w:lvlJc w:val="left"/>
      <w:pPr>
        <w:ind w:left="6480" w:hanging="360"/>
      </w:pPr>
    </w:lvl>
  </w:abstractNum>
  <w:abstractNum w:abstractNumId="2" w15:restartNumberingAfterBreak="0">
    <w:nsid w:val="389D19FC"/>
    <w:multiLevelType w:val="hybridMultilevel"/>
    <w:tmpl w:val="087A973E"/>
    <w:lvl w:ilvl="0" w:tplc="8D740A90">
      <w:start w:val="1"/>
      <w:numFmt w:val="bullet"/>
      <w:lvlText w:val="◦"/>
      <w:lvlJc w:val="left"/>
      <w:pPr>
        <w:ind w:left="900" w:hanging="280"/>
      </w:pPr>
    </w:lvl>
    <w:lvl w:ilvl="1" w:tplc="96A0EA7E">
      <w:numFmt w:val="decimal"/>
      <w:lvlText w:val=""/>
      <w:lvlJc w:val="left"/>
    </w:lvl>
    <w:lvl w:ilvl="2" w:tplc="6CAECC0E">
      <w:numFmt w:val="decimal"/>
      <w:lvlText w:val=""/>
      <w:lvlJc w:val="left"/>
    </w:lvl>
    <w:lvl w:ilvl="3" w:tplc="D0A61518">
      <w:numFmt w:val="decimal"/>
      <w:lvlText w:val=""/>
      <w:lvlJc w:val="left"/>
    </w:lvl>
    <w:lvl w:ilvl="4" w:tplc="82BE3890">
      <w:numFmt w:val="decimal"/>
      <w:lvlText w:val=""/>
      <w:lvlJc w:val="left"/>
    </w:lvl>
    <w:lvl w:ilvl="5" w:tplc="62DE4DB6">
      <w:numFmt w:val="decimal"/>
      <w:lvlText w:val=""/>
      <w:lvlJc w:val="left"/>
    </w:lvl>
    <w:lvl w:ilvl="6" w:tplc="C18EE0C8">
      <w:numFmt w:val="decimal"/>
      <w:lvlText w:val=""/>
      <w:lvlJc w:val="left"/>
    </w:lvl>
    <w:lvl w:ilvl="7" w:tplc="EBA26D36">
      <w:numFmt w:val="decimal"/>
      <w:lvlText w:val=""/>
      <w:lvlJc w:val="left"/>
    </w:lvl>
    <w:lvl w:ilvl="8" w:tplc="4D6694B8">
      <w:numFmt w:val="decimal"/>
      <w:lvlText w:val=""/>
      <w:lvlJc w:val="left"/>
    </w:lvl>
  </w:abstractNum>
  <w:abstractNum w:abstractNumId="3" w15:restartNumberingAfterBreak="0">
    <w:nsid w:val="3F4D3D56"/>
    <w:multiLevelType w:val="hybridMultilevel"/>
    <w:tmpl w:val="8B76B910"/>
    <w:lvl w:ilvl="0" w:tplc="4D0A10E6">
      <w:start w:val="1"/>
      <w:numFmt w:val="decimal"/>
      <w:lvlText w:val="%1."/>
      <w:lvlJc w:val="left"/>
      <w:pPr>
        <w:ind w:left="540" w:hanging="280"/>
      </w:pPr>
    </w:lvl>
    <w:lvl w:ilvl="1" w:tplc="9D90478E">
      <w:numFmt w:val="decimal"/>
      <w:lvlText w:val=""/>
      <w:lvlJc w:val="left"/>
    </w:lvl>
    <w:lvl w:ilvl="2" w:tplc="682A8388">
      <w:numFmt w:val="decimal"/>
      <w:lvlText w:val=""/>
      <w:lvlJc w:val="left"/>
    </w:lvl>
    <w:lvl w:ilvl="3" w:tplc="997462A0">
      <w:numFmt w:val="decimal"/>
      <w:lvlText w:val=""/>
      <w:lvlJc w:val="left"/>
    </w:lvl>
    <w:lvl w:ilvl="4" w:tplc="2174DC2C">
      <w:numFmt w:val="decimal"/>
      <w:lvlText w:val=""/>
      <w:lvlJc w:val="left"/>
    </w:lvl>
    <w:lvl w:ilvl="5" w:tplc="FF78470A">
      <w:numFmt w:val="decimal"/>
      <w:lvlText w:val=""/>
      <w:lvlJc w:val="left"/>
    </w:lvl>
    <w:lvl w:ilvl="6" w:tplc="C2082DF0">
      <w:numFmt w:val="decimal"/>
      <w:lvlText w:val=""/>
      <w:lvlJc w:val="left"/>
    </w:lvl>
    <w:lvl w:ilvl="7" w:tplc="D77A0416">
      <w:numFmt w:val="decimal"/>
      <w:lvlText w:val=""/>
      <w:lvlJc w:val="left"/>
    </w:lvl>
    <w:lvl w:ilvl="8" w:tplc="165290FA">
      <w:numFmt w:val="decimal"/>
      <w:lvlText w:val=""/>
      <w:lvlJc w:val="left"/>
    </w:lvl>
  </w:abstractNum>
  <w:abstractNum w:abstractNumId="4" w15:restartNumberingAfterBreak="0">
    <w:nsid w:val="4D2A7986"/>
    <w:multiLevelType w:val="hybridMultilevel"/>
    <w:tmpl w:val="9DF41748"/>
    <w:lvl w:ilvl="0" w:tplc="9D927AD0">
      <w:start w:val="1"/>
      <w:numFmt w:val="bullet"/>
      <w:lvlText w:val="•"/>
      <w:lvlJc w:val="left"/>
      <w:pPr>
        <w:ind w:left="540" w:hanging="280"/>
      </w:pPr>
    </w:lvl>
    <w:lvl w:ilvl="1" w:tplc="FC866290">
      <w:numFmt w:val="decimal"/>
      <w:lvlText w:val=""/>
      <w:lvlJc w:val="left"/>
    </w:lvl>
    <w:lvl w:ilvl="2" w:tplc="C150C464">
      <w:numFmt w:val="decimal"/>
      <w:lvlText w:val=""/>
      <w:lvlJc w:val="left"/>
    </w:lvl>
    <w:lvl w:ilvl="3" w:tplc="C18E1206">
      <w:numFmt w:val="decimal"/>
      <w:lvlText w:val=""/>
      <w:lvlJc w:val="left"/>
    </w:lvl>
    <w:lvl w:ilvl="4" w:tplc="D998329A">
      <w:numFmt w:val="decimal"/>
      <w:lvlText w:val=""/>
      <w:lvlJc w:val="left"/>
    </w:lvl>
    <w:lvl w:ilvl="5" w:tplc="A2D0B046">
      <w:numFmt w:val="decimal"/>
      <w:lvlText w:val=""/>
      <w:lvlJc w:val="left"/>
    </w:lvl>
    <w:lvl w:ilvl="6" w:tplc="FE2CACF4">
      <w:numFmt w:val="decimal"/>
      <w:lvlText w:val=""/>
      <w:lvlJc w:val="left"/>
    </w:lvl>
    <w:lvl w:ilvl="7" w:tplc="89CE1A4A">
      <w:numFmt w:val="decimal"/>
      <w:lvlText w:val=""/>
      <w:lvlJc w:val="left"/>
    </w:lvl>
    <w:lvl w:ilvl="8" w:tplc="0C9AF054">
      <w:numFmt w:val="decimal"/>
      <w:lvlText w:val=""/>
      <w:lvlJc w:val="left"/>
    </w:lvl>
  </w:abstractNum>
  <w:num w:numId="1" w16cid:durableId="1427842004">
    <w:abstractNumId w:val="1"/>
    <w:lvlOverride w:ilvl="0">
      <w:startOverride w:val="1"/>
    </w:lvlOverride>
  </w:num>
  <w:num w:numId="2" w16cid:durableId="2122339410">
    <w:abstractNumId w:val="4"/>
    <w:lvlOverride w:ilvl="0">
      <w:startOverride w:val="1"/>
    </w:lvlOverride>
  </w:num>
  <w:num w:numId="3" w16cid:durableId="611666295">
    <w:abstractNumId w:val="3"/>
    <w:lvlOverride w:ilvl="0">
      <w:startOverride w:val="1"/>
    </w:lvlOverride>
  </w:num>
  <w:num w:numId="4" w16cid:durableId="312102119">
    <w:abstractNumId w:val="3"/>
  </w:num>
  <w:num w:numId="5" w16cid:durableId="33018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0D4F4E"/>
    <w:rsid w:val="000D4F4E"/>
    <w:rsid w:val="002F60C7"/>
    <w:rsid w:val="00365A82"/>
    <w:rsid w:val="00386E61"/>
    <w:rsid w:val="004D4EF0"/>
    <w:rsid w:val="00544445"/>
    <w:rsid w:val="005C1CEA"/>
    <w:rsid w:val="00737D81"/>
    <w:rsid w:val="00782DEA"/>
    <w:rsid w:val="007E2F70"/>
    <w:rsid w:val="009711B3"/>
    <w:rsid w:val="00AE5FFB"/>
    <w:rsid w:val="00BE06D0"/>
    <w:rsid w:val="00CA1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D2F7"/>
  <w15:docId w15:val="{05FEC382-B4CD-45F3-83DD-A18D526A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1974</Words>
  <Characters>10288</Characters>
  <Application>Microsoft Office Word</Application>
  <DocSecurity>0</DocSecurity>
  <Lines>342</Lines>
  <Paragraphs>255</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12</cp:revision>
  <dcterms:created xsi:type="dcterms:W3CDTF">2026-03-03T18:05:00Z</dcterms:created>
  <dcterms:modified xsi:type="dcterms:W3CDTF">2026-03-04T19:57:00Z</dcterms:modified>
  <dc:title>Apex Technology Corporation — IPO Valuation and Financial Ratio Analysis</dc:title>
  <dc:subject>BUS311 M07 student assignment guide</dc:subject>
  <cp:keywords>BUS311, equity valuation, IPO, DDM, FCFF, sources and uses, ratios</cp:keywords>
</cp:coreProperties>
</file>