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Calibri" w:hAnsi="Calibri"/>
          <w:b/>
          <w:color w:val="C66A3D"/>
          <w:sz w:val="21"/>
        </w:rPr>
        <w:t>AUTHORITATIVE DERIVED RUBRIC</w:t>
      </w:r>
    </w:p>
    <w:p>
      <w:pPr>
        <w:spacing w:after="80"/>
      </w:pPr>
      <w:r>
        <w:rPr>
          <w:rFonts w:ascii="Calibri" w:hAnsi="Calibri"/>
          <w:b/>
          <w:color w:val="0A2540"/>
          <w:sz w:val="48"/>
        </w:rPr>
        <w:t>BUS311 Individual Company Capstone</w:t>
      </w:r>
    </w:p>
    <w:p>
      <w:pPr>
        <w:spacing w:after="280"/>
      </w:pPr>
      <w:r>
        <w:rPr>
          <w:rFonts w:ascii="Calibri" w:hAnsi="Calibri"/>
          <w:b/>
          <w:color w:val="5E6B75"/>
          <w:sz w:val="26"/>
        </w:rPr>
        <w:t>Student rubric and evidence guide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260"/>
        <w:gridCol w:w="3420"/>
        <w:gridCol w:w="1260"/>
        <w:gridCol w:w="3420"/>
      </w:tblGrid>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Project</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100 points</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Course grade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25 points</w:t>
            </w:r>
          </w:p>
        </w:tc>
      </w:tr>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Audience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Company CFO and Board</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Ownership</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Individual</w:t>
            </w:r>
          </w:p>
        </w:tc>
      </w:tr>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7"/>
              </w:rPr>
              <w:t>Source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Schema v1.3.0</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7"/>
              </w:rPr>
              <w:t>SHA-256</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4ed6f97d17903b36d21d313b96f2cf7f1486ef5a137aeb3291bcf0e139370bd8</w:t>
            </w:r>
          </w:p>
        </w:tc>
      </w:tr>
    </w:tbl>
    <w:p>
      <w:pPr>
        <w:spacing w:after="0"/>
      </w:pP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9360"/>
      </w:tblGrid>
      <w:tr>
        <w:trPr>
          <w:cantSplit/>
        </w:trPr>
        <w:tc>
          <w:tcPr>
            <w:tcW w:type="dxa" w:w="9360"/>
            <w:tcMar>
              <w:top w:w="80" w:type="dxa"/>
              <w:start w:w="120" w:type="dxa"/>
              <w:bottom w:w="80" w:type="dxa"/>
              <w:end w:w="120" w:type="dxa"/>
            </w:tcMar>
            <w:vAlign w:val="center"/>
            <w:shd w:fill="EAF2F8"/>
          </w:tcPr>
          <w:p>
            <w:pPr>
              <w:spacing w:after="20"/>
            </w:pPr>
            <w:r>
              <w:rPr>
                <w:rFonts w:ascii="Calibri" w:hAnsi="Calibri"/>
                <w:b/>
                <w:color w:val="0A2540"/>
                <w:sz w:val="20"/>
              </w:rPr>
              <w:t xml:space="preserve">How to use this rubric: </w:t>
            </w:r>
            <w:r>
              <w:rPr>
                <w:rFonts w:ascii="Calibri" w:hAnsi="Calibri"/>
                <w:color w:val="111827"/>
                <w:sz w:val="20"/>
              </w:rPr>
              <w:t>Use the evidence rules as a submission checklist and the performance anchors to judge whether your work is decision-ready. You are responsible for every source, calculation, claim, visual, and recommendation submitted under your name.</w:t>
            </w:r>
          </w:p>
        </w:tc>
      </w:tr>
    </w:tbl>
    <w:p>
      <w:pPr>
        <w:spacing w:after="0"/>
      </w:pPr>
    </w:p>
    <w:p>
      <w:pPr>
        <w:pStyle w:val="Heading1"/>
      </w:pPr>
      <w:r>
        <w:t>Point architecture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5760"/>
        <w:gridCol w:w="1680"/>
        <w:gridCol w:w="1920"/>
      </w:tblGrid>
      <w:tr>
        <w:trPr>
          <w:tblHeader w:val="true"/>
          <w:cantSplit/>
        </w:trPr>
        <w:tc>
          <w:tcPr>
            <w:tcW w:type="dxa" w:w="576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9"/>
              </w:rPr>
              <w:t>Assessment component</w:t>
            </w:r>
          </w:p>
        </w:tc>
        <w:tc>
          <w:tcPr>
            <w:tcW w:type="dxa" w:w="16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9"/>
              </w:rPr>
              <w:t>Project points</w:t>
            </w:r>
          </w:p>
        </w:tc>
        <w:tc>
          <w:tcPr>
            <w:tcW w:type="dxa" w:w="192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9"/>
              </w:rPr>
              <w:t>Course-grade points</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Milestones, Excel model, and revision</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25</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6.25</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One-page executive summary</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15</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3.75</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PPTX Board presentation</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40</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10</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Individual delivery and Q&amp;A</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20</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5</w:t>
            </w:r>
          </w:p>
        </w:tc>
      </w:tr>
      <w:tr>
        <w:trPr>
          <w:cantSplit/>
        </w:trPr>
        <w:tc>
          <w:tcPr>
            <w:tcW w:type="dxa" w:w="576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9"/>
              </w:rPr>
              <w:t>Total</w:t>
            </w:r>
          </w:p>
        </w:tc>
        <w:tc>
          <w:tcPr>
            <w:tcW w:type="dxa" w:w="168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9"/>
              </w:rPr>
              <w:t>100</w:t>
            </w:r>
          </w:p>
        </w:tc>
        <w:tc>
          <w:tcPr>
            <w:tcW w:type="dxa" w:w="192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9"/>
              </w:rPr>
              <w:t>25</w:t>
            </w:r>
          </w:p>
        </w:tc>
      </w:tr>
    </w:tbl>
    <w:p>
      <w:pPr>
        <w:pStyle w:val="Heading1"/>
      </w:pPr>
      <w:r>
        <w:t>Criterion map</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800"/>
        <w:gridCol w:w="3480"/>
        <w:gridCol w:w="3000"/>
        <w:gridCol w:w="1080"/>
      </w:tblGrid>
      <w:tr>
        <w:trPr>
          <w:tblHeader w:val="true"/>
          <w:cantSplit/>
        </w:trPr>
        <w:tc>
          <w:tcPr>
            <w:tcW w:type="dxa" w:w="18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ID</w:t>
            </w:r>
          </w:p>
        </w:tc>
        <w:tc>
          <w:tcPr>
            <w:tcW w:type="dxa" w:w="3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7"/>
              </w:rPr>
              <w:t>Criterion</w:t>
            </w:r>
          </w:p>
        </w:tc>
        <w:tc>
          <w:tcPr>
            <w:tcW w:type="dxa" w:w="30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Component</w:t>
            </w:r>
          </w:p>
        </w:tc>
        <w:tc>
          <w:tcPr>
            <w:tcW w:type="dxa" w:w="10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Max</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M01_CFO_DECISION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Company exploration and potential CFO decision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M02_REVENUE_HYPOTHESIS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engine and initial hypothesis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8</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M03_VALUATION_SCENARIOS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Valuation model and scenarios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8</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M04_AI_REVISION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AI red team and revision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4</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S01_CFO_SYNTHESIS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CFO-ready synthesis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One-page executive summary</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P01_REVENUE_DIAGNOSIS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engine and operating diagnosis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P02_VALUATION_SCENARIOS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Valuation and scenarios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10</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P03_CFO_IMPLEMENTATION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CFO recommendation and implementation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10</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P04_VISUAL_SOURCE_INTEGRITY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Visual evidence and source integrity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D01_EXECUTIVE_DELIVERY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Executive delivery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Individual delivery and Q&amp;A</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D02_MODEL_MASTERY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valuation, and model mastery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Individual delivery and Q&amp;A</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6"/>
              </w:rPr>
              <w:t>TOTAL</w:t>
            </w:r>
          </w:p>
        </w:tc>
        <w:tc>
          <w:tcPr>
            <w:tcW w:type="dxa" w:w="348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6"/>
              </w:rPr>
            </w:r>
          </w:p>
        </w:tc>
        <w:tc>
          <w:tcPr>
            <w:tcW w:type="dxa" w:w="300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6"/>
              </w:rPr>
            </w:r>
          </w:p>
        </w:tc>
        <w:tc>
          <w:tcPr>
            <w:tcW w:type="dxa" w:w="108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6"/>
              </w:rPr>
              <w:t>100</w:t>
            </w:r>
          </w:p>
        </w:tc>
      </w:tr>
    </w:tbl>
    <w:p>
      <w:r>
        <w:br w:type="page"/>
      </w:r>
    </w:p>
    <w:p>
      <w:pPr>
        <w:pStyle w:val="Heading1"/>
      </w:pPr>
      <w:r>
        <w:rPr>
          <w:rFonts w:ascii="Calibri" w:hAnsi="Calibri"/>
          <w:b/>
          <w:color w:val="175FA9"/>
          <w:sz w:val="32"/>
        </w:rPr>
        <w:t>1. Milestones, Excel model, and revision — 25 points</w:t>
      </w:r>
    </w:p>
    <w:p>
      <w:pPr>
        <w:spacing w:after="160"/>
      </w:pPr>
      <w:r>
        <w:rPr>
          <w:rFonts w:ascii="Calibri" w:hAnsi="Calibri"/>
          <w:i/>
          <w:color w:val="5E6B75"/>
          <w:sz w:val="20"/>
        </w:rPr>
        <w:t>This component contributes 6.25 of the course's 25 capstone grade points.</w:t>
      </w:r>
    </w:p>
    <w:p>
      <w:pPr>
        <w:pStyle w:val="Heading2"/>
      </w:pPr>
      <w:r>
        <w:rPr>
          <w:rFonts w:ascii="Calibri" w:hAnsi="Calibri"/>
          <w:b/>
          <w:color w:val="175FA9"/>
          <w:sz w:val="26"/>
        </w:rPr>
        <w:t>M01_CFO_DECISION · Company exploration and potential CFO decision — 5 points</w:t>
      </w:r>
    </w:p>
    <w:p>
      <w:pPr>
        <w:spacing w:after="120"/>
      </w:pPr>
      <w:r>
        <w:rPr>
          <w:rFonts w:ascii="Calibri" w:hAnsi="Calibri"/>
          <w:color w:val="111827"/>
          <w:sz w:val="21"/>
        </w:rPr>
        <w:t>Selects an approved U.S. public company, completes beginner-level introductory research through AI and/or ordinary web search plus required FactSet use, and proposes one potential company-specific CFO decision for later investigation.</w:t>
      </w:r>
    </w:p>
    <w:p>
      <w:pPr>
        <w:keepNext/>
        <w:spacing w:after="60"/>
      </w:pPr>
      <w:r>
        <w:rPr>
          <w:rFonts w:ascii="Calibri" w:hAnsi="Calibri"/>
          <w:b/>
          <w:color w:val="0A2540"/>
          <w:sz w:val="21"/>
        </w:rPr>
        <w:t>Required evidence</w:t>
      </w:r>
    </w:p>
    <w:p>
      <w:pPr>
        <w:pStyle w:val="ListBullet"/>
      </w:pPr>
      <w:r>
        <w:rPr>
          <w:rFonts w:ascii="Calibri" w:hAnsi="Calibri"/>
          <w:color w:val="111827"/>
          <w:sz w:val="20"/>
        </w:rPr>
        <w:t>The approved public company, ticker, exchange, and individual student are identified.</w:t>
      </w:r>
    </w:p>
    <w:p>
      <w:pPr>
        <w:pStyle w:val="ListBullet"/>
      </w:pPr>
      <w:r>
        <w:rPr>
          <w:rFonts w:ascii="Calibri" w:hAnsi="Calibri"/>
          <w:color w:val="111827"/>
          <w:sz w:val="20"/>
        </w:rPr>
        <w:t>Introductory notes show that the student used AI and/or ordinary web search to learn what the company does and what may matter financially; these notes are exploratory rather than verified evidence.</w:t>
      </w:r>
    </w:p>
    <w:p>
      <w:pPr>
        <w:pStyle w:val="ListBullet"/>
      </w:pPr>
      <w:r>
        <w:rPr>
          <w:rFonts w:ascii="Calibri" w:hAnsi="Calibri"/>
          <w:color w:val="111827"/>
          <w:sz w:val="20"/>
        </w:rPr>
        <w:t>One specific FactSet learning is stated and the screen, report, or feature used is named; formal citation and validation are not required at Stage 1.</w:t>
      </w:r>
    </w:p>
    <w:p>
      <w:pPr>
        <w:pStyle w:val="ListBullet"/>
      </w:pPr>
      <w:r>
        <w:rPr>
          <w:rFonts w:ascii="Calibri" w:hAnsi="Calibri"/>
          <w:color w:val="111827"/>
          <w:sz w:val="20"/>
        </w:rPr>
        <w:t>One potential company-specific CFO decision is proposed in the student's own words with a short explanation of why it seems worth investigating.</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company snapshot is clear and beginner-friendly, the FactSet discovery is concrete and names the feature used, and the potential CFO decision is specific, company-connected, and appropriately tentative.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approved company, introductory research, required FactSet learning, and potential CFO decision are complete and understandable, with only minor gaps in specificity or connection.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submission shows a plausible start but the company snapshot is thin, the FactSet learning or feature is vague, or the potential CFO decision is broad or weakly connected to the initial research.</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company is outside the approved course scope, required FactSet use is missing, the potential CFO decision is absent, or the work is not individually attributable.</w:t>
            </w:r>
          </w:p>
        </w:tc>
      </w:tr>
    </w:tbl>
    <w:p>
      <w:pPr>
        <w:pStyle w:val="Heading2"/>
      </w:pPr>
      <w:r>
        <w:rPr>
          <w:rFonts w:ascii="Calibri" w:hAnsi="Calibri"/>
          <w:b/>
          <w:color w:val="175FA9"/>
          <w:sz w:val="26"/>
        </w:rPr>
        <w:t>M02_REVENUE_HYPOTHESIS · Revenue engine and initial hypothesis — 8 points</w:t>
      </w:r>
    </w:p>
    <w:p>
      <w:pPr>
        <w:spacing w:after="120"/>
      </w:pPr>
      <w:r>
        <w:rPr>
          <w:rFonts w:ascii="Calibri" w:hAnsi="Calibri"/>
          <w:color w:val="111827"/>
          <w:sz w:val="21"/>
        </w:rPr>
        <w:t>Explains how the company generates sales, diagnoses three to five years of performance, and states a testable revenue hypothesis that will drive scenarios and the CFO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Revenue is mapped by relevant products or services, segments, geographies, customers, channels, pricing, and recurring or transactional characteristics.</w:t>
      </w:r>
    </w:p>
    <w:p>
      <w:pPr>
        <w:pStyle w:val="ListBullet"/>
      </w:pPr>
      <w:r>
        <w:rPr>
          <w:rFonts w:ascii="Calibri" w:hAnsi="Calibri"/>
          <w:color w:val="111827"/>
          <w:sz w:val="20"/>
        </w:rPr>
        <w:t>Three to five years of total and material segment revenue use consistent periods, units, definitions, and traceable SEC or FactSet sources.</w:t>
      </w:r>
    </w:p>
    <w:p>
      <w:pPr>
        <w:pStyle w:val="ListBullet"/>
      </w:pPr>
      <w:r>
        <w:rPr>
          <w:rFonts w:ascii="Calibri" w:hAnsi="Calibri"/>
          <w:color w:val="111827"/>
          <w:sz w:val="20"/>
        </w:rPr>
        <w:t>Price, volume, mix, currency, acquisitions, capacity, retention, backlog, or other company-relevant drivers are separated from temporary effects.</w:t>
      </w:r>
    </w:p>
    <w:p>
      <w:pPr>
        <w:pStyle w:val="ListBullet"/>
      </w:pPr>
      <w:r>
        <w:rPr>
          <w:rFonts w:ascii="Calibri" w:hAnsi="Calibri"/>
          <w:color w:val="111827"/>
          <w:sz w:val="20"/>
        </w:rPr>
        <w:t>Peer and industry evidence, leading indicators, risks, and limitations are connected to a specific, falsifiable revenue hypothesis.</w:t>
      </w:r>
    </w:p>
    <w:p>
      <w:pPr>
        <w:pStyle w:val="ListBullet"/>
      </w:pPr>
      <w:r>
        <w:rPr>
          <w:rFonts w:ascii="Calibri" w:hAnsi="Calibri"/>
          <w:color w:val="111827"/>
          <w:sz w:val="20"/>
        </w:rPr>
        <w:t>The strongest AI challenge is verified independently and the initial hypothesis is retained, modified, or rejected by the student with rationale.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7.20–8.00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Provides a complete company-specific revenue map, reconciled multi-year evidence, driver decomposition, peer and indicator context, and a falsifiable hypothesis strengthened by verified challenge evidence.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6.40–&lt;7.20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Explains the revenue engine and key drivers with credible multi-year evidence and a testable hypothesis; minor gaps do not break the later forecast linkage.</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5.60–&lt;6.40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history is mostly descriptive, incompletely sourced, or weakly decomposed; the hypothesis is vague, only partly testable, or weakly challenged and verified.</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0–&lt;5.60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generation, multi-year evidence, or the hypothesis is missing or materially inaccurate; sources or AI claims are unverified and the student cannot defend the analysis.</w:t>
            </w:r>
          </w:p>
        </w:tc>
      </w:tr>
    </w:tbl>
    <w:p>
      <w:pPr>
        <w:pStyle w:val="Heading2"/>
      </w:pPr>
      <w:r>
        <w:rPr>
          <w:rFonts w:ascii="Calibri" w:hAnsi="Calibri"/>
          <w:b/>
          <w:color w:val="175FA9"/>
          <w:sz w:val="26"/>
        </w:rPr>
        <w:t>M03_VALUATION_SCENARIOS · Valuation model and scenarios — 8 points</w:t>
      </w:r>
    </w:p>
    <w:p>
      <w:pPr>
        <w:spacing w:after="120"/>
      </w:pPr>
      <w:r>
        <w:rPr>
          <w:rFonts w:ascii="Calibri" w:hAnsi="Calibri"/>
          <w:color w:val="111827"/>
          <w:sz w:val="21"/>
        </w:rPr>
        <w:t>Builds an auditable Excel valuation or capital-budgeting model whose assumptions, scenarios, sensitivities, and decision outputs follow from the revenue diagnosis.</w:t>
      </w:r>
    </w:p>
    <w:p>
      <w:pPr>
        <w:keepNext/>
        <w:spacing w:after="60"/>
      </w:pPr>
      <w:r>
        <w:rPr>
          <w:rFonts w:ascii="Calibri" w:hAnsi="Calibri"/>
          <w:b/>
          <w:color w:val="0A2540"/>
          <w:sz w:val="21"/>
        </w:rPr>
        <w:t>Required evidence</w:t>
      </w:r>
    </w:p>
    <w:p>
      <w:pPr>
        <w:pStyle w:val="ListBullet"/>
      </w:pPr>
      <w:r>
        <w:rPr>
          <w:rFonts w:ascii="Calibri" w:hAnsi="Calibri"/>
          <w:color w:val="111827"/>
          <w:sz w:val="20"/>
        </w:rPr>
        <w:t>Base, upside, and downside revenue assumptions link explicitly to identified operating drivers and the approved decision.</w:t>
      </w:r>
    </w:p>
    <w:p>
      <w:pPr>
        <w:pStyle w:val="ListBullet"/>
      </w:pPr>
      <w:r>
        <w:rPr>
          <w:rFonts w:ascii="Calibri" w:hAnsi="Calibri"/>
          <w:color w:val="111827"/>
          <w:sz w:val="20"/>
        </w:rPr>
        <w:t>Inputs, sources, calculations, outputs, checks, scenarios, and sensitivities are separated and labeled with units and periods.</w:t>
      </w:r>
    </w:p>
    <w:p>
      <w:pPr>
        <w:pStyle w:val="ListBullet"/>
      </w:pPr>
      <w:r>
        <w:rPr>
          <w:rFonts w:ascii="Calibri" w:hAnsi="Calibri"/>
          <w:color w:val="111827"/>
          <w:sz w:val="20"/>
        </w:rPr>
        <w:t>Applicable tax, NOPAT, depreciation, capital expenditure, net working capital, discount-rate, terminal-value, and enterprise-to-equity logic is correct and traceable.</w:t>
      </w:r>
    </w:p>
    <w:p>
      <w:pPr>
        <w:pStyle w:val="ListBullet"/>
      </w:pPr>
      <w:r>
        <w:rPr>
          <w:rFonts w:ascii="Calibri" w:hAnsi="Calibri"/>
          <w:color w:val="111827"/>
          <w:sz w:val="20"/>
        </w:rPr>
        <w:t>Visible checks cover formula errors, signs, scenario consistency, valuation bridges, terminal-value reasonableness, and sensitivity links.</w:t>
      </w:r>
    </w:p>
    <w:p>
      <w:pPr>
        <w:pStyle w:val="ListBullet"/>
      </w:pPr>
      <w:r>
        <w:rPr>
          <w:rFonts w:ascii="Calibri" w:hAnsi="Calibri"/>
          <w:color w:val="111827"/>
          <w:sz w:val="20"/>
        </w:rPr>
        <w:t>FactSet and SEC assumptions are labeled with item or report name and as-of date; limitations and conflicting definitions are disclosed.</w:t>
      </w:r>
    </w:p>
    <w:p>
      <w:pPr>
        <w:pStyle w:val="ListBullet"/>
      </w:pPr>
      <w:r>
        <w:rPr>
          <w:rFonts w:ascii="Calibri" w:hAnsi="Calibri"/>
          <w:color w:val="111827"/>
          <w:sz w:val="20"/>
        </w:rPr>
        <w:t>AI assumption-audit suggestions are verified with source evidence or independent Excel calculations before revision.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7.20–8.00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is revenue-linked, auditable, correctly structured, source-traceable, scenario-responsive, and free of unresolved errors; checks and sensitivities support a defensible decision under uncertainty.</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6.40–&lt;7.20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Core model and scenario logic are correct and traceable with minor documentation or sensitivity gaps that do not change the decision conclusion.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5.60–&lt;6.40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runs but contains material gaps in driver linkage, sourcing, checks, scenario logic, or applicable finance mechanics; outputs require cautious interpretation.</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0–&lt;5.60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is missing, materially incorrect, hardcoded at key outputs, disconnected from revenue evidence, or contains unresolved errors that make the valuation or decision unreliable.</w:t>
            </w:r>
          </w:p>
        </w:tc>
      </w:tr>
    </w:tbl>
    <w:p>
      <w:pPr>
        <w:pStyle w:val="Heading2"/>
      </w:pPr>
      <w:r>
        <w:rPr>
          <w:rFonts w:ascii="Calibri" w:hAnsi="Calibri"/>
          <w:b/>
          <w:color w:val="175FA9"/>
          <w:sz w:val="26"/>
        </w:rPr>
        <w:t>M04_AI_REVISION · AI red team and revision — 4 points</w:t>
      </w:r>
    </w:p>
    <w:p>
      <w:pPr>
        <w:spacing w:after="120"/>
      </w:pPr>
      <w:r>
        <w:rPr>
          <w:rFonts w:ascii="Calibri" w:hAnsi="Calibri"/>
          <w:color w:val="111827"/>
          <w:sz w:val="21"/>
        </w:rPr>
        <w:t>Documents bounded C-A-P-A-J challenge, independent verification, human judgment, and revision of the revenue hypothesis, model assumptions, recommendation, and Q&amp;A preparation.</w:t>
      </w:r>
    </w:p>
    <w:p>
      <w:pPr>
        <w:keepNext/>
        <w:spacing w:after="60"/>
      </w:pPr>
      <w:r>
        <w:rPr>
          <w:rFonts w:ascii="Calibri" w:hAnsi="Calibri"/>
          <w:b/>
          <w:color w:val="0A2540"/>
          <w:sz w:val="21"/>
        </w:rPr>
        <w:t>Required evidence</w:t>
      </w:r>
    </w:p>
    <w:p>
      <w:pPr>
        <w:pStyle w:val="ListBullet"/>
      </w:pPr>
      <w:r>
        <w:rPr>
          <w:rFonts w:ascii="Calibri" w:hAnsi="Calibri"/>
          <w:color w:val="111827"/>
          <w:sz w:val="20"/>
        </w:rPr>
        <w:t>The record identifies context, student-written assumptions, prompt purpose, strongest challenge, and the specific output retained.</w:t>
      </w:r>
    </w:p>
    <w:p>
      <w:pPr>
        <w:pStyle w:val="ListBullet"/>
      </w:pPr>
      <w:r>
        <w:rPr>
          <w:rFonts w:ascii="Calibri" w:hAnsi="Calibri"/>
          <w:color w:val="111827"/>
          <w:sz w:val="20"/>
        </w:rPr>
        <w:t>Evidence checked names the exact SEC filing, FactSet item, Excel calculation, or course concept used to test the challenge.</w:t>
      </w:r>
    </w:p>
    <w:p>
      <w:pPr>
        <w:pStyle w:val="ListBullet"/>
      </w:pPr>
      <w:r>
        <w:rPr>
          <w:rFonts w:ascii="Calibri" w:hAnsi="Calibri"/>
          <w:color w:val="111827"/>
          <w:sz w:val="20"/>
        </w:rPr>
        <w:t>The student records a finding, uncertainty, accept/modify/reject judgment, and revised hypothesis or decision logic.</w:t>
      </w:r>
    </w:p>
    <w:p>
      <w:pPr>
        <w:pStyle w:val="ListBullet"/>
      </w:pPr>
      <w:r>
        <w:rPr>
          <w:rFonts w:ascii="Calibri" w:hAnsi="Calibri"/>
          <w:color w:val="111827"/>
          <w:sz w:val="20"/>
        </w:rPr>
        <w:t>The final disclosure identifies tool, purpose, output retained, verification performed, and where human judgment overruled AI.</w:t>
      </w:r>
    </w:p>
    <w:p>
      <w:pPr>
        <w:pStyle w:val="ListBullet"/>
      </w:pPr>
      <w:r>
        <w:rPr>
          <w:rFonts w:ascii="Calibri" w:hAnsi="Calibri"/>
          <w:color w:val="111827"/>
          <w:sz w:val="20"/>
        </w:rPr>
        <w:t>No raw licensed FactSet export, screenshot, personal information, instructor-only material, or nonpublic information is supplied to a public AI tool.</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3.60–4.00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Creates a concise, complete verification trail showing skeptical challenge, authoritative evidence, transparent uncertainty, independent judgment, and a material revision or well-defended decision not to revise.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3.20–&lt;3.60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Challenge, verification, judgment, revision, and disclosure are complete; rationale is credible with only minor specificity or documentation gaps.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2.80–&lt;3.20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Records an AI interaction but verification is shallow, the accept/modify/reject judgment is weak, or the revision and disclosure trail is incomplete.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0–&lt;2.80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AI output is treated as evidence or substituted for student analysis; verification, judgment, disclosure, or privacy safeguards are missing.</w:t>
            </w:r>
          </w:p>
        </w:tc>
      </w:tr>
    </w:tbl>
    <w:p>
      <w:pPr>
        <w:pStyle w:val="Heading1"/>
      </w:pPr>
      <w:r>
        <w:rPr>
          <w:rFonts w:ascii="Calibri" w:hAnsi="Calibri"/>
          <w:b/>
          <w:color w:val="175FA9"/>
          <w:sz w:val="32"/>
        </w:rPr>
        <w:t>2. One-page executive summary — 15 points</w:t>
      </w:r>
    </w:p>
    <w:p>
      <w:pPr>
        <w:spacing w:after="160"/>
      </w:pPr>
      <w:r>
        <w:rPr>
          <w:rFonts w:ascii="Calibri" w:hAnsi="Calibri"/>
          <w:i/>
          <w:color w:val="5E6B75"/>
          <w:sz w:val="20"/>
        </w:rPr>
        <w:t>This component contributes 3.75 of the course's 25 capstone grade points.</w:t>
      </w:r>
    </w:p>
    <w:p>
      <w:pPr>
        <w:pStyle w:val="Heading2"/>
      </w:pPr>
      <w:r>
        <w:rPr>
          <w:rFonts w:ascii="Calibri" w:hAnsi="Calibri"/>
          <w:b/>
          <w:color w:val="175FA9"/>
          <w:sz w:val="26"/>
        </w:rPr>
        <w:t>S01_CFO_SYNTHESIS · CFO-ready synthesis — 15 points</w:t>
      </w:r>
    </w:p>
    <w:p>
      <w:pPr>
        <w:spacing w:after="120"/>
      </w:pPr>
      <w:r>
        <w:rPr>
          <w:rFonts w:ascii="Calibri" w:hAnsi="Calibri"/>
          <w:color w:val="111827"/>
          <w:sz w:val="21"/>
        </w:rPr>
        <w:t>Uses one readable page to state the decision, revenue and valuation thesis, recommended action, implementation priorities, principal risks, sources, and verified AI disclosure.</w:t>
      </w:r>
    </w:p>
    <w:p>
      <w:pPr>
        <w:keepNext/>
        <w:spacing w:after="60"/>
      </w:pPr>
      <w:r>
        <w:rPr>
          <w:rFonts w:ascii="Calibri" w:hAnsi="Calibri"/>
          <w:b/>
          <w:color w:val="0A2540"/>
          <w:sz w:val="21"/>
        </w:rPr>
        <w:t>Required evidence</w:t>
      </w:r>
    </w:p>
    <w:p>
      <w:pPr>
        <w:pStyle w:val="ListBullet"/>
      </w:pPr>
      <w:r>
        <w:rPr>
          <w:rFonts w:ascii="Calibri" w:hAnsi="Calibri"/>
          <w:color w:val="111827"/>
          <w:sz w:val="20"/>
        </w:rPr>
        <w:t>The page states the decision requested and the recommended action without requiring the reader to infer the conclusion.</w:t>
      </w:r>
    </w:p>
    <w:p>
      <w:pPr>
        <w:pStyle w:val="ListBullet"/>
      </w:pPr>
      <w:r>
        <w:rPr>
          <w:rFonts w:ascii="Calibri" w:hAnsi="Calibri"/>
          <w:color w:val="111827"/>
          <w:sz w:val="20"/>
        </w:rPr>
        <w:t>The revenue-engine finding, testable hypothesis and revision, valuation or scenario conclusion, and principal limitation are integrated into one decision logic.</w:t>
      </w:r>
    </w:p>
    <w:p>
      <w:pPr>
        <w:pStyle w:val="ListBullet"/>
      </w:pPr>
      <w:r>
        <w:rPr>
          <w:rFonts w:ascii="Calibri" w:hAnsi="Calibri"/>
          <w:color w:val="111827"/>
          <w:sz w:val="20"/>
        </w:rPr>
        <w:t>Two or three supporting actions identify timing, responsible functions, performance indicators, triggers, tradeoffs, and mitigations.</w:t>
      </w:r>
    </w:p>
    <w:p>
      <w:pPr>
        <w:pStyle w:val="ListBullet"/>
      </w:pPr>
      <w:r>
        <w:rPr>
          <w:rFonts w:ascii="Calibri" w:hAnsi="Calibri"/>
          <w:color w:val="111827"/>
          <w:sz w:val="20"/>
        </w:rPr>
        <w:t>Material figures and claims have compact SEC, FactSet, model, or other named source notes with dates and definitions.</w:t>
      </w:r>
    </w:p>
    <w:p>
      <w:pPr>
        <w:pStyle w:val="ListBullet"/>
      </w:pPr>
      <w:r>
        <w:rPr>
          <w:rFonts w:ascii="Calibri" w:hAnsi="Calibri"/>
          <w:color w:val="111827"/>
          <w:sz w:val="20"/>
        </w:rPr>
        <w:t>The file is individually authored, readable at normal print size, accessible, and includes the final verified AI-use disclosure.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One page delivers a precise, persuasive, evidence-traceable CFO decision with integrated revenue and valuation logic, prioritized implementation, monitoring triggers, risks, limitations, and disclosure.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Summary is decision-ready and covers the required evidence and implementation elements; minor density, prioritization, or source-note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page is understandable but omits or weakly connects a material element such as revenue, scenarios, implementation, risks, sources, or disclosure.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page is missing, over length, unreadable, generic, unsupported, or does not present an individually defensible CFO recommendation.</w:t>
            </w:r>
          </w:p>
        </w:tc>
      </w:tr>
    </w:tbl>
    <w:p>
      <w:r>
        <w:br w:type="page"/>
      </w:r>
    </w:p>
    <w:p>
      <w:pPr>
        <w:pStyle w:val="Heading1"/>
      </w:pPr>
      <w:r>
        <w:rPr>
          <w:rFonts w:ascii="Calibri" w:hAnsi="Calibri"/>
          <w:b/>
          <w:color w:val="175FA9"/>
          <w:sz w:val="32"/>
        </w:rPr>
        <w:t>3. PPTX Board presentation — 40 points</w:t>
      </w:r>
    </w:p>
    <w:p>
      <w:pPr>
        <w:spacing w:after="160"/>
      </w:pPr>
      <w:r>
        <w:rPr>
          <w:rFonts w:ascii="Calibri" w:hAnsi="Calibri"/>
          <w:i/>
          <w:color w:val="5E6B75"/>
          <w:sz w:val="20"/>
        </w:rPr>
        <w:t>This component contributes 10 of the course's 25 capstone grade points.</w:t>
      </w:r>
    </w:p>
    <w:p>
      <w:pPr>
        <w:pStyle w:val="Heading2"/>
      </w:pPr>
      <w:r>
        <w:rPr>
          <w:rFonts w:ascii="Calibri" w:hAnsi="Calibri"/>
          <w:b/>
          <w:color w:val="175FA9"/>
          <w:sz w:val="26"/>
        </w:rPr>
        <w:t>P01_REVENUE_DIAGNOSIS · Revenue engine and operating diagnosis — 15 points</w:t>
      </w:r>
    </w:p>
    <w:p>
      <w:pPr>
        <w:spacing w:after="120"/>
      </w:pPr>
      <w:r>
        <w:rPr>
          <w:rFonts w:ascii="Calibri" w:hAnsi="Calibri"/>
          <w:color w:val="111827"/>
          <w:sz w:val="21"/>
        </w:rPr>
        <w:t>Shows the Board how the company generates sales, what drove three to five years of performance, what could change next, and why the revenue hypothesis matters to the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Slides show a company-specific revenue map and three to five years of total and material segment evidence.</w:t>
      </w:r>
    </w:p>
    <w:p>
      <w:pPr>
        <w:pStyle w:val="ListBullet"/>
      </w:pPr>
      <w:r>
        <w:rPr>
          <w:rFonts w:ascii="Calibri" w:hAnsi="Calibri"/>
          <w:color w:val="111827"/>
          <w:sz w:val="20"/>
        </w:rPr>
        <w:t>Editable or traceable visuals separate relevant price, volume, mix, currency, acquisition, capacity, customer, utilization, retention, backlog, or other drivers.</w:t>
      </w:r>
    </w:p>
    <w:p>
      <w:pPr>
        <w:pStyle w:val="ListBullet"/>
      </w:pPr>
      <w:r>
        <w:rPr>
          <w:rFonts w:ascii="Calibri" w:hAnsi="Calibri"/>
          <w:color w:val="111827"/>
          <w:sz w:val="20"/>
        </w:rPr>
        <w:t>Peer or industry context, leading indicators, concentrations, seasonality, constraints, and principal revenue risks are prioritized rather than listed generically.</w:t>
      </w:r>
    </w:p>
    <w:p>
      <w:pPr>
        <w:pStyle w:val="ListBullet"/>
      </w:pPr>
      <w:r>
        <w:rPr>
          <w:rFonts w:ascii="Calibri" w:hAnsi="Calibri"/>
          <w:color w:val="111827"/>
          <w:sz w:val="20"/>
        </w:rPr>
        <w:t>The testable hypothesis and verified red-team result are stated and linked to forecast assumptions and the CFO decision.</w:t>
      </w:r>
    </w:p>
    <w:p>
      <w:pPr>
        <w:pStyle w:val="ListBullet"/>
      </w:pPr>
      <w:r>
        <w:rPr>
          <w:rFonts w:ascii="Calibri" w:hAnsi="Calibri"/>
          <w:color w:val="111827"/>
          <w:sz w:val="20"/>
        </w:rPr>
        <w:t>All material revenue figures identify source, fiscal period, units, and definition.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Board can see exactly how sales are generated, why performance changed, which indicators matter, how the hypothesis was tested, and how the diagnosis changes the decision.</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model, history, drivers, indicators, and hypothesis are credible and decision-linked; only minor analytical or visual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evidence is present but descriptive, crowded, weakly sourced, or only partly connected to drivers, hypothesis, forecast, and decision.</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diagnosis is missing, materially inaccurate, unsupported, generic, or disconnected from the recommendation.</w:t>
            </w:r>
          </w:p>
        </w:tc>
      </w:tr>
    </w:tbl>
    <w:p>
      <w:pPr>
        <w:pStyle w:val="Heading2"/>
      </w:pPr>
      <w:r>
        <w:rPr>
          <w:rFonts w:ascii="Calibri" w:hAnsi="Calibri"/>
          <w:b/>
          <w:color w:val="175FA9"/>
          <w:sz w:val="26"/>
        </w:rPr>
        <w:t>P02_VALUATION_SCENARIOS · Valuation and scenarios — 10 points</w:t>
      </w:r>
    </w:p>
    <w:p>
      <w:pPr>
        <w:spacing w:after="120"/>
      </w:pPr>
      <w:r>
        <w:rPr>
          <w:rFonts w:ascii="Calibri" w:hAnsi="Calibri"/>
          <w:color w:val="111827"/>
          <w:sz w:val="21"/>
        </w:rPr>
        <w:t>Communicates the revenue-linked assumptions, valuation or capital-budgeting outputs, scenario differences, sensitivities, market expectations, and limitations needed for the Board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Base, upside, and downside cases identify the operating drivers that change and the decision consequence of each case.</w:t>
      </w:r>
    </w:p>
    <w:p>
      <w:pPr>
        <w:pStyle w:val="ListBullet"/>
      </w:pPr>
      <w:r>
        <w:rPr>
          <w:rFonts w:ascii="Calibri" w:hAnsi="Calibri"/>
          <w:color w:val="111827"/>
          <w:sz w:val="20"/>
        </w:rPr>
        <w:t>Key valuation or capital-budgeting outputs reconcile to the assessed Excel model and are not re-created as unsupported slide figures.</w:t>
      </w:r>
    </w:p>
    <w:p>
      <w:pPr>
        <w:pStyle w:val="ListBullet"/>
      </w:pPr>
      <w:r>
        <w:rPr>
          <w:rFonts w:ascii="Calibri" w:hAnsi="Calibri"/>
          <w:color w:val="111827"/>
          <w:sz w:val="20"/>
        </w:rPr>
        <w:t>The discount rate, terminal or exit logic, investment cash flows, sensitivities, and market expectations are explained to the extent relevant to the approved decision.</w:t>
      </w:r>
    </w:p>
    <w:p>
      <w:pPr>
        <w:pStyle w:val="ListBullet"/>
      </w:pPr>
      <w:r>
        <w:rPr>
          <w:rFonts w:ascii="Calibri" w:hAnsi="Calibri"/>
          <w:color w:val="111827"/>
          <w:sz w:val="20"/>
        </w:rPr>
        <w:t>Charts and tables show units, periods, definitions, source labels, and material limitations.</w:t>
      </w:r>
    </w:p>
    <w:p>
      <w:pPr>
        <w:pStyle w:val="ListBullet"/>
      </w:pPr>
      <w:r>
        <w:rPr>
          <w:rFonts w:ascii="Calibri" w:hAnsi="Calibri"/>
          <w:color w:val="111827"/>
          <w:sz w:val="20"/>
        </w:rPr>
        <w:t>The student can identify the assumptions most capable of changing the recommendation.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9.00–10.00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Scenarios and sensitivities expose the true decision drivers, reconcile to the model, explain market expectations, and communicate valuation range and limitations without false precision.</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8.00–&lt;9.00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Valuation evidence and scenarios are correct, reconciled, and useful for the decision; minor explanation or sensitivity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7.00–&lt;8.00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Outputs are shown but scenario drivers, reconciliation, sensitivity, market context, or limitations are incomplete or difficult to follow.</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0–&lt;7.00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Valuation or scenario evidence is missing, incorrect, unsupported, disconnected from the model, or unable to support the decision.</w:t>
            </w:r>
          </w:p>
        </w:tc>
      </w:tr>
    </w:tbl>
    <w:p>
      <w:pPr>
        <w:pStyle w:val="Heading2"/>
      </w:pPr>
      <w:r>
        <w:rPr>
          <w:rFonts w:ascii="Calibri" w:hAnsi="Calibri"/>
          <w:b/>
          <w:color w:val="175FA9"/>
          <w:sz w:val="26"/>
        </w:rPr>
        <w:t>P03_CFO_IMPLEMENTATION · CFO recommendation and implementation — 10 points</w:t>
      </w:r>
    </w:p>
    <w:p>
      <w:pPr>
        <w:spacing w:after="120"/>
      </w:pPr>
      <w:r>
        <w:rPr>
          <w:rFonts w:ascii="Calibri" w:hAnsi="Calibri"/>
          <w:color w:val="111827"/>
          <w:sz w:val="21"/>
        </w:rPr>
        <w:t>Recommends one prioritized CFO action, explains why it dominates credible alternatives, and specifies how the company should implement, monitor, and adapt the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The requested Board decision and recommended action are explicit and flow from the revenue, finance, and valuation evidence.</w:t>
      </w:r>
    </w:p>
    <w:p>
      <w:pPr>
        <w:pStyle w:val="ListBullet"/>
      </w:pPr>
      <w:r>
        <w:rPr>
          <w:rFonts w:ascii="Calibri" w:hAnsi="Calibri"/>
          <w:color w:val="111827"/>
          <w:sz w:val="20"/>
        </w:rPr>
        <w:t>At least two credible alternatives or counterfactuals are compared using decision-relevant tradeoffs.</w:t>
      </w:r>
    </w:p>
    <w:p>
      <w:pPr>
        <w:pStyle w:val="ListBullet"/>
      </w:pPr>
      <w:r>
        <w:rPr>
          <w:rFonts w:ascii="Calibri" w:hAnsi="Calibri"/>
          <w:color w:val="111827"/>
          <w:sz w:val="20"/>
        </w:rPr>
        <w:t>Two or three supporting actions identify timing, responsible functions, resources, dependencies, and principal execution risks.</w:t>
      </w:r>
    </w:p>
    <w:p>
      <w:pPr>
        <w:pStyle w:val="ListBullet"/>
      </w:pPr>
      <w:r>
        <w:rPr>
          <w:rFonts w:ascii="Calibri" w:hAnsi="Calibri"/>
          <w:color w:val="111827"/>
          <w:sz w:val="20"/>
        </w:rPr>
        <w:t>Performance indicators, decision triggers, mitigations, and conditions that would cause the CFO to revise course are specified.</w:t>
      </w:r>
    </w:p>
    <w:p>
      <w:pPr>
        <w:pStyle w:val="ListBullet"/>
      </w:pPr>
      <w:r>
        <w:rPr>
          <w:rFonts w:ascii="Calibri" w:hAnsi="Calibri"/>
          <w:color w:val="111827"/>
          <w:sz w:val="20"/>
        </w:rPr>
        <w:t>The recommendation is company-specific and individually authored.</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9.00–10.00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prioritized, analytically compelled, explicit about tradeoffs, and operationally credible with owners, timing, resources, indicators, triggers, risks, and adaptation logic.</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8.00–&lt;9.00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well supported and implementable with credible alternatives, actions, monitoring, and risk mitigation; minor execution detail is missing.</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7.00–&lt;8.00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plausible but alternatives, tradeoffs, implementation ownership, timing, metrics, or triggers are materially underdeveloped.</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0–&lt;7.00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missing, generic, unsupported by the analysis, unrealistic, or lacks a usable implementation path.</w:t>
            </w:r>
          </w:p>
        </w:tc>
      </w:tr>
    </w:tbl>
    <w:p>
      <w:pPr>
        <w:pStyle w:val="Heading2"/>
      </w:pPr>
      <w:r>
        <w:rPr>
          <w:rFonts w:ascii="Calibri" w:hAnsi="Calibri"/>
          <w:b/>
          <w:color w:val="175FA9"/>
          <w:sz w:val="26"/>
        </w:rPr>
        <w:t>P04_VISUAL_SOURCE_INTEGRITY · Visual evidence and source integrity — 5 points</w:t>
      </w:r>
    </w:p>
    <w:p>
      <w:pPr>
        <w:spacing w:after="120"/>
      </w:pPr>
      <w:r>
        <w:rPr>
          <w:rFonts w:ascii="Calibri" w:hAnsi="Calibri"/>
          <w:color w:val="111827"/>
          <w:sz w:val="21"/>
        </w:rPr>
        <w:t>Presents readable, accessible, editable or traceable evidence with complete SEC, FactSet, model, and AI provenance.</w:t>
      </w:r>
    </w:p>
    <w:p>
      <w:pPr>
        <w:keepNext/>
        <w:spacing w:after="60"/>
      </w:pPr>
      <w:r>
        <w:rPr>
          <w:rFonts w:ascii="Calibri" w:hAnsi="Calibri"/>
          <w:b/>
          <w:color w:val="0A2540"/>
          <w:sz w:val="21"/>
        </w:rPr>
        <w:t>Required evidence</w:t>
      </w:r>
    </w:p>
    <w:p>
      <w:pPr>
        <w:pStyle w:val="ListBullet"/>
      </w:pPr>
      <w:r>
        <w:rPr>
          <w:rFonts w:ascii="Calibri" w:hAnsi="Calibri"/>
          <w:color w:val="111827"/>
          <w:sz w:val="20"/>
        </w:rPr>
        <w:t>Quantitative visuals are editable or traceable to Excel, SEC filings, permitted FactSet evidence, or another named source.</w:t>
      </w:r>
    </w:p>
    <w:p>
      <w:pPr>
        <w:pStyle w:val="ListBullet"/>
      </w:pPr>
      <w:r>
        <w:rPr>
          <w:rFonts w:ascii="Calibri" w:hAnsi="Calibri"/>
          <w:color w:val="111827"/>
          <w:sz w:val="20"/>
        </w:rPr>
        <w:t>Every material visual shows title, axes or labels, units, periods, definitions, and a legible source note.</w:t>
      </w:r>
    </w:p>
    <w:p>
      <w:pPr>
        <w:pStyle w:val="ListBullet"/>
      </w:pPr>
      <w:r>
        <w:rPr>
          <w:rFonts w:ascii="Calibri" w:hAnsi="Calibri"/>
          <w:color w:val="111827"/>
          <w:sz w:val="20"/>
        </w:rPr>
        <w:t>FactSet evidence identifies FactSet, item or report name, as-of date, units, and access date while respecting licensed-use limits.</w:t>
      </w:r>
    </w:p>
    <w:p>
      <w:pPr>
        <w:pStyle w:val="ListBullet"/>
      </w:pPr>
      <w:r>
        <w:rPr>
          <w:rFonts w:ascii="Calibri" w:hAnsi="Calibri"/>
          <w:color w:val="111827"/>
          <w:sz w:val="20"/>
        </w:rPr>
        <w:t>Slides use readable type, sufficient contrast, non-color cues, and meaningful alt text or an accessible equivalent for non-text visuals.</w:t>
      </w:r>
    </w:p>
    <w:p>
      <w:pPr>
        <w:pStyle w:val="ListBullet"/>
      </w:pPr>
      <w:r>
        <w:rPr>
          <w:rFonts w:ascii="Calibri" w:hAnsi="Calibri"/>
          <w:color w:val="111827"/>
          <w:sz w:val="20"/>
        </w:rPr>
        <w:t>No fabricated, unsupported, or unverified AI-generated figure or financial visual is used as evidence.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Every material visual is clear, accurate, accessible, traceable, consistently labeled, and decision-useful; FactSet and AI provenance are handled correctly.</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Visuals and sources are accurate and readable with only minor labeling, accessibility, or traceability gaps.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Several visuals are dense, weakly labeled, inconsistently sourced, difficult to trace, or missing accessibility support, though the evidence remains partly usable.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Visuals are misleading, unreadable, materially unsourced, inaccessible, fabricated, or reliant on unverified AI output.</w:t>
            </w:r>
          </w:p>
        </w:tc>
      </w:tr>
    </w:tbl>
    <w:p>
      <w:r>
        <w:br w:type="page"/>
      </w:r>
    </w:p>
    <w:p>
      <w:pPr>
        <w:pStyle w:val="Heading1"/>
      </w:pPr>
      <w:r>
        <w:rPr>
          <w:rFonts w:ascii="Calibri" w:hAnsi="Calibri"/>
          <w:b/>
          <w:color w:val="175FA9"/>
          <w:sz w:val="32"/>
        </w:rPr>
        <w:t>4. Individual delivery and Q&amp;A — 20 points</w:t>
      </w:r>
    </w:p>
    <w:p>
      <w:pPr>
        <w:spacing w:after="160"/>
      </w:pPr>
      <w:r>
        <w:rPr>
          <w:rFonts w:ascii="Calibri" w:hAnsi="Calibri"/>
          <w:i/>
          <w:color w:val="5E6B75"/>
          <w:sz w:val="20"/>
        </w:rPr>
        <w:t>This component contributes 5 of the course's 25 capstone grade points.</w:t>
      </w:r>
    </w:p>
    <w:p>
      <w:pPr>
        <w:pStyle w:val="Heading2"/>
      </w:pPr>
      <w:r>
        <w:rPr>
          <w:rFonts w:ascii="Calibri" w:hAnsi="Calibri"/>
          <w:b/>
          <w:color w:val="175FA9"/>
          <w:sz w:val="26"/>
        </w:rPr>
        <w:t>D01_EXECUTIVE_DELIVERY · Executive delivery — 5 points</w:t>
      </w:r>
    </w:p>
    <w:p>
      <w:pPr>
        <w:spacing w:after="120"/>
      </w:pPr>
      <w:r>
        <w:rPr>
          <w:rFonts w:ascii="Calibri" w:hAnsi="Calibri"/>
          <w:color w:val="111827"/>
          <w:sz w:val="21"/>
        </w:rPr>
        <w:t>Delivers a clear, concise seven-minute Board briefing with professional presence, audience fit, accessible explanation, and visible individual ownership.</w:t>
      </w:r>
    </w:p>
    <w:p>
      <w:pPr>
        <w:keepNext/>
        <w:spacing w:after="60"/>
      </w:pPr>
      <w:r>
        <w:rPr>
          <w:rFonts w:ascii="Calibri" w:hAnsi="Calibri"/>
          <w:b/>
          <w:color w:val="0A2540"/>
          <w:sz w:val="21"/>
        </w:rPr>
        <w:t>Required evidence</w:t>
      </w:r>
    </w:p>
    <w:p>
      <w:pPr>
        <w:pStyle w:val="ListBullet"/>
      </w:pPr>
      <w:r>
        <w:rPr>
          <w:rFonts w:ascii="Calibri" w:hAnsi="Calibri"/>
          <w:color w:val="111827"/>
          <w:sz w:val="20"/>
        </w:rPr>
        <w:t>The briefing finishes within seven minutes and uses the core slides as evidence rather than a script.</w:t>
      </w:r>
    </w:p>
    <w:p>
      <w:pPr>
        <w:pStyle w:val="ListBullet"/>
      </w:pPr>
      <w:r>
        <w:rPr>
          <w:rFonts w:ascii="Calibri" w:hAnsi="Calibri"/>
          <w:color w:val="111827"/>
          <w:sz w:val="20"/>
        </w:rPr>
        <w:t>The student leads with the decision, explains revenue before valuation, and distinguishes recommendation, evidence, assumptions, and limitations.</w:t>
      </w:r>
    </w:p>
    <w:p>
      <w:pPr>
        <w:pStyle w:val="ListBullet"/>
      </w:pPr>
      <w:r>
        <w:rPr>
          <w:rFonts w:ascii="Calibri" w:hAnsi="Calibri"/>
          <w:color w:val="111827"/>
          <w:sz w:val="20"/>
        </w:rPr>
        <w:t>Pacing, voice, transitions, and terminology support a CFO-and-Board audience.</w:t>
      </w:r>
    </w:p>
    <w:p>
      <w:pPr>
        <w:pStyle w:val="ListBullet"/>
      </w:pPr>
      <w:r>
        <w:rPr>
          <w:rFonts w:ascii="Calibri" w:hAnsi="Calibri"/>
          <w:color w:val="111827"/>
          <w:sz w:val="20"/>
        </w:rPr>
        <w:t>Delivery and responses demonstrate individual ownership of the work.</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Briefing is concise, confident, well paced, accessible, decision-led, and credible for an executive audience; individual ownership is unmistakable.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Delivery is clear, professional, within time, and appropriate to the audience with minor pacing, emphasis, or presence issues.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Message is understandable but timing, organization, reading, jargon, pacing, or audience fit weakens the executive decision narrative.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Delivery is substantially underprepared, over time, difficult to follow, or does not demonstrate individual ownership.</w:t>
            </w:r>
          </w:p>
        </w:tc>
      </w:tr>
    </w:tbl>
    <w:p>
      <w:pPr>
        <w:pStyle w:val="Heading2"/>
      </w:pPr>
      <w:r>
        <w:rPr>
          <w:rFonts w:ascii="Calibri" w:hAnsi="Calibri"/>
          <w:b/>
          <w:color w:val="175FA9"/>
          <w:sz w:val="26"/>
        </w:rPr>
        <w:t>D02_MODEL_MASTERY · Revenue, valuation, and model mastery — 15 points</w:t>
      </w:r>
    </w:p>
    <w:p>
      <w:pPr>
        <w:spacing w:after="120"/>
      </w:pPr>
      <w:r>
        <w:rPr>
          <w:rFonts w:ascii="Calibri" w:hAnsi="Calibri"/>
          <w:color w:val="111827"/>
          <w:sz w:val="21"/>
        </w:rPr>
        <w:t>Defends the revenue diagnosis, source choices, model mechanics, scenario logic, recommendation, alternatives, risks, and uncertainty during individual Q&amp;A.</w:t>
      </w:r>
    </w:p>
    <w:p>
      <w:pPr>
        <w:keepNext/>
        <w:spacing w:after="60"/>
      </w:pPr>
      <w:r>
        <w:rPr>
          <w:rFonts w:ascii="Calibri" w:hAnsi="Calibri"/>
          <w:b/>
          <w:color w:val="0A2540"/>
          <w:sz w:val="21"/>
        </w:rPr>
        <w:t>Required evidence</w:t>
      </w:r>
    </w:p>
    <w:p>
      <w:pPr>
        <w:pStyle w:val="ListBullet"/>
      </w:pPr>
      <w:r>
        <w:rPr>
          <w:rFonts w:ascii="Calibri" w:hAnsi="Calibri"/>
          <w:color w:val="111827"/>
          <w:sz w:val="20"/>
        </w:rPr>
        <w:t>The student accurately explains revenue drivers, the hypothesis, forecast assumptions, calculations, valuation bridge, sensitivities, and checks.</w:t>
      </w:r>
    </w:p>
    <w:p>
      <w:pPr>
        <w:pStyle w:val="ListBullet"/>
      </w:pPr>
      <w:r>
        <w:rPr>
          <w:rFonts w:ascii="Calibri" w:hAnsi="Calibri"/>
          <w:color w:val="111827"/>
          <w:sz w:val="20"/>
        </w:rPr>
        <w:t>Responses cite or locate specific SEC, FactSet, Excel, or course evidence and reconcile differing definitions when challenged.</w:t>
      </w:r>
    </w:p>
    <w:p>
      <w:pPr>
        <w:pStyle w:val="ListBullet"/>
      </w:pPr>
      <w:r>
        <w:rPr>
          <w:rFonts w:ascii="Calibri" w:hAnsi="Calibri"/>
          <w:color w:val="111827"/>
          <w:sz w:val="20"/>
        </w:rPr>
        <w:t>The student can explain what would change the conclusion, compare alternatives, and address implementation and risk tradeoffs.</w:t>
      </w:r>
    </w:p>
    <w:p>
      <w:pPr>
        <w:pStyle w:val="ListBullet"/>
      </w:pPr>
      <w:r>
        <w:rPr>
          <w:rFonts w:ascii="Calibri" w:hAnsi="Calibri"/>
          <w:color w:val="111827"/>
          <w:sz w:val="20"/>
        </w:rPr>
        <w:t>When uncertain, the student states the limitation and identifies the next evidence or calculation needed rather than inventing an answer.</w:t>
      </w:r>
    </w:p>
    <w:p>
      <w:pPr>
        <w:pStyle w:val="ListBullet"/>
      </w:pPr>
      <w:r>
        <w:rPr>
          <w:rFonts w:ascii="Calibri" w:hAnsi="Calibri"/>
          <w:color w:val="111827"/>
          <w:sz w:val="20"/>
        </w:rPr>
        <w:t>Responses verify that the submitted model and recommendation are the student's own work.</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Answers are accurate, specific, source-aware, and adaptive; the student can trace model logic, stress assumptions, compare alternatives, and state uncertainty with executive judgment.</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accurately defends the core revenue, model, scenario, and recommendation logic with minor gaps on secondary details.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understands the broad conclusion but struggles to trace sources, calculations, assumptions, sensitivities, alternatives, or uncertainty without relying on slides.</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cannot explain essential evidence or model mechanics, gives materially inaccurate or invented answers, or does not demonstrate individual ownership.</w:t>
            </w:r>
          </w:p>
        </w:tc>
      </w:tr>
    </w:tbl>
    <w:p>
      <w:r>
        <w:br w:type="page"/>
      </w:r>
    </w:p>
    <w:p>
      <w:pPr>
        <w:pStyle w:val="Heading1"/>
      </w:pPr>
      <w:r>
        <w:t>Point reconciliation and use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9360"/>
      </w:tblGrid>
      <w:tr>
        <w:trPr>
          <w:cantSplit/>
        </w:trPr>
        <w:tc>
          <w:tcPr>
            <w:tcW w:type="dxa" w:w="9360"/>
            <w:tcMar>
              <w:top w:w="80" w:type="dxa"/>
              <w:start w:w="120" w:type="dxa"/>
              <w:bottom w:w="80" w:type="dxa"/>
              <w:end w:w="120" w:type="dxa"/>
            </w:tcMar>
            <w:vAlign w:val="center"/>
            <w:shd w:fill="EAF2F8"/>
          </w:tcPr>
          <w:p>
            <w:pPr>
              <w:spacing w:after="20"/>
            </w:pPr>
            <w:r>
              <w:rPr>
                <w:rFonts w:ascii="Calibri" w:hAnsi="Calibri"/>
                <w:b/>
                <w:color w:val="0A2540"/>
                <w:sz w:val="20"/>
              </w:rPr>
              <w:t xml:space="preserve">Conversion: </w:t>
            </w:r>
            <w:r>
              <w:rPr>
                <w:rFonts w:ascii="Calibri" w:hAnsi="Calibri"/>
                <w:color w:val="111827"/>
                <w:sz w:val="20"/>
              </w:rPr>
              <w:t>Each project point equals 0.25 course-grade points. A project score of 100 maps to 25 course-grade points; 50 maps to 12.5; an explicit zero maps to zero; an unscored blank remains blank.</w:t>
            </w:r>
          </w:p>
        </w:tc>
      </w:tr>
    </w:tbl>
    <w:p>
      <w:pPr>
        <w:spacing w:after="0"/>
      </w:pPr>
    </w:p>
    <w:p>
      <w:pPr>
        <w:pStyle w:val="ListBullet"/>
      </w:pPr>
      <w:r>
        <w:rPr>
          <w:rFonts w:ascii="Calibri" w:hAnsi="Calibri"/>
          <w:color w:val="111827"/>
          <w:sz w:val="20"/>
        </w:rPr>
        <w:t>Each student owns the research, evidence selection, model, writing, slides, presentation, and Q&amp;A. Every submitted figure, formula, source choice, and recommendation must be explainable by that student.</w:t>
      </w:r>
    </w:p>
    <w:p>
      <w:pPr>
        <w:pStyle w:val="ListBullet"/>
      </w:pPr>
      <w:r>
        <w:rPr>
          <w:rFonts w:ascii="Calibri" w:hAnsi="Calibri"/>
          <w:color w:val="111827"/>
          <w:sz w:val="20"/>
        </w:rPr>
        <w:t>Material claims and model inputs must be traceable to SEC filings, permitted FactSet evidence, Excel calculations, or another credible named source. FactSet labels include item or report name, period or as-of date, units, and access date. Conflicting definitions are reconciled or disclosed.</w:t>
      </w:r>
    </w:p>
    <w:p>
      <w:pPr>
        <w:pStyle w:val="ListBullet"/>
      </w:pPr>
      <w:r>
        <w:rPr>
          <w:rFonts w:ascii="Calibri" w:hAnsi="Calibri"/>
          <w:color w:val="111827"/>
          <w:sz w:val="20"/>
        </w:rPr>
        <w:t>AI may challenge student work but is never financial evidence. Retained output must be independently checked with SEC, FactSet, Excel, or course concepts and classified as accepted, modified, or rejected with a human rationale. Raw licensed data and screenshots are not uploaded to public AI tools.</w:t>
      </w:r>
    </w:p>
    <w:p>
      <w:pPr>
        <w:spacing w:before="200" w:after="0"/>
      </w:pPr>
      <w:r>
        <w:rPr>
          <w:rFonts w:ascii="Calibri" w:hAnsi="Calibri"/>
          <w:color w:val="5E6B75"/>
          <w:sz w:val="17"/>
        </w:rPr>
        <w:t>Generated from CAPSTONE/source/bus311-capstone.json, version 1.3.0, SHA-256 4ed6f97d17903b36d21d313b96f2cf7f1486ef5a137aeb3291bcf0e139370bd8.</w:t>
      </w:r>
    </w:p>
    <w:sectPr w:rsidR="00FC693F" w:rsidRPr="0006063C" w:rsidSect="00034616">
      <w:headerReference w:type="default" r:id="rId9"/>
      <w:footerReference w:type="default" r:id="rId10"/>
      <w:headerReference w:type="even" r:id="rId11"/>
      <w:footerReference w:type="even" r:id="rId12"/>
      <w:footerReference w:type="firs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472"/>
        <w:sz w:val="17"/>
      </w:rPr>
      <w:t xml:space="preserve">Rubric v1.3.0 · 4ed6f97d1790  |  Page </w:t>
    </w:r>
    <w:r>
      <w:rPr>
        <w:rFonts w:ascii="Aptos" w:hAnsi="Aptos"/>
        <w:b w:val="0"/>
        <w:i w:val="0"/>
        <w:color w:val="5B6472"/>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E6B75"/>
        <w:sz w:val="17"/>
      </w:rPr>
      <w:t>BUS311 Corporate Finance  |  Individual Company Capstone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5FA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5FA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A25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Rubric — Student</dc:title>
  <dc:subject>BUS311 individual company capstone rubric</dc:subject>
  <dc:creator>BUS311 Corporate Finance</dc:creator>
  <cp:keywords/>
  <dc:description>Derived from CAPSTONE/source/bus311-capstone.json v1.3.0; SHA-256 4ed6f97d17903b36d21d313b96f2cf7f1486ef5a137aeb3291bcf0e139370bd8</dc:description>
  <cp:lastModifiedBy/>
  <cp:revision>1</cp:revision>
  <dcterms:created xsi:type="dcterms:W3CDTF">2013-12-23T23:15:00Z</dcterms:created>
  <dcterms:modified xsi:type="dcterms:W3CDTF">2013-12-23T23:15:00Z</dcterms:modified>
  <cp:category/>
  <cp:version>1.3.0</cp:version>
</cp:coreProperties>
</file>