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i w:val="0"/>
          <w:color w:val="9C4A2B"/>
          <w:sz w:val="19"/>
        </w:rPr>
        <w:t>BUS311 CORPORATE FINANCE · APPROVED STUDENT ASSIGNMENT</w:t>
      </w:r>
    </w:p>
    <w:p>
      <w:pPr>
        <w:keepNext/>
        <w:spacing w:after="100"/>
      </w:pPr>
      <w:r>
        <w:rPr>
          <w:rFonts w:ascii="Aptos Display" w:hAnsi="Aptos Display"/>
          <w:b/>
          <w:i w:val="0"/>
          <w:color w:val="152536"/>
          <w:sz w:val="48"/>
        </w:rPr>
        <w:t>BUS311 Individual Company Capstone</w:t>
      </w:r>
    </w:p>
    <w:p>
      <w:pPr>
        <w:spacing w:after="200"/>
      </w:pPr>
      <w:r>
        <w:rPr>
          <w:rFonts w:ascii="Aptos" w:hAnsi="Aptos"/>
          <w:b w:val="0"/>
          <w:i w:val="0"/>
          <w:color w:val="5B6472"/>
          <w:sz w:val="18"/>
        </w:rPr>
        <w:t>100 points  |  25% of BUS311  |  Individual project  |  Fall 2026  |  Source v1.5.0</w:t>
      </w:r>
    </w:p>
    <w:p>
      <w:pPr>
        <w:pBdr>
          <w:bottom w:val="single" w:sz="14" w:space="1" w:color="C18A42"/>
        </w:pBdr>
        <w:spacing w:after="16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BOARD ASSIGNMENT  </w:t>
            </w:r>
            <w:r>
              <w:rPr>
                <w:rFonts w:ascii="Aptos" w:hAnsi="Aptos"/>
                <w:b w:val="0"/>
                <w:i w:val="0"/>
                <w:color w:val="152536"/>
                <w:sz w:val="21"/>
              </w:rPr>
              <w:t>Act as an internal corporate finance analyst. Diagnose how one approved public company creates revenue and value, recommend one company-specific CFO action, and defend it to the company's CFO and Board with traceable evidence and an auditable model.</w:t>
            </w:r>
          </w:p>
        </w:tc>
      </w:tr>
    </w:tbl>
    <w:p>
      <w:pPr>
        <w:spacing w:after="20"/>
      </w:pPr>
    </w:p>
    <w:p>
      <w:pPr>
        <w:pStyle w:val="Heading1"/>
        <w:keepNext/>
      </w:pPr>
      <w:r>
        <w:t>At a glance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Item</w:t>
            </w:r>
          </w:p>
        </w:tc>
        <w:tc>
          <w:tcPr>
            <w:tcW w:type="dxa" w:w="68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Approved requirement</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Audience</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The selected company's CFO and Board</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One approved public company listed in the United States</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Decision</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One material, company-specific CFO decision, with two or three supporting actions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Stages 1-4</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 + 8 + 8 + 4 = 25 points; dates and requirements are unchanged</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component 1</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 — 50 points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component 2</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 — 25 points</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upload</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Exactly one editable .pptx due Monday, Nov. 30, 2026 at 12:30 p.m. ET, when class begins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On the assigned class date; up to 7 minutes presenting plus up to 3 minutes responding to live questions, scored together</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 points = 25% of the BUS311 course grade</w:t>
            </w:r>
          </w:p>
        </w:tc>
      </w:tr>
    </w:tbl>
    <w:p>
      <w:pPr>
        <w:spacing w:after="20"/>
      </w:pPr>
    </w:p>
    <w:p>
      <w:pPr>
        <w:pStyle w:val="Heading1"/>
        <w:keepNext/>
      </w:pPr>
      <w:r>
        <w:t>The decision you will build</w:t>
      </w:r>
    </w:p>
    <w:p>
      <w:pPr>
        <w:spacing w:after="100"/>
      </w:pPr>
      <w:r>
        <w:rPr>
          <w:rFonts w:ascii="Aptos" w:hAnsi="Aptos"/>
          <w:b w:val="0"/>
          <w:i w:val="0"/>
          <w:color w:val="1A1F2C"/>
          <w:sz w:val="21"/>
        </w:rPr>
        <w:t>Given the company's revenue engine, financial position, market expectations, and risks, what specific action should the CFO recommend to the Board, and what evidence makes that decision credible and implementable?</w:t>
      </w:r>
    </w:p>
    <w:p>
      <w:pPr>
        <w:ind w:left="317" w:hanging="317"/>
      </w:pPr>
      <w:r>
        <w:rPr>
          <w:rFonts w:ascii="Aptos" w:hAnsi="Aptos"/>
          <w:b w:val="0"/>
          <w:i w:val="0"/>
          <w:color w:val="1A1F2C"/>
          <w:sz w:val="21"/>
        </w:rPr>
        <w:t>• Lead with one material, company-specific action the CFO could recommend to the Board.</w:t>
      </w:r>
    </w:p>
    <w:p>
      <w:pPr>
        <w:ind w:left="317" w:hanging="317"/>
      </w:pPr>
      <w:r>
        <w:rPr>
          <w:rFonts w:ascii="Aptos" w:hAnsi="Aptos"/>
          <w:b w:val="0"/>
          <w:i w:val="0"/>
          <w:color w:val="1A1F2C"/>
          <w:sz w:val="21"/>
        </w:rPr>
        <w:t>• Diagnose the revenue engine before selecting forecast and valuation assumptions.</w:t>
      </w:r>
    </w:p>
    <w:p>
      <w:pPr>
        <w:ind w:left="317" w:hanging="317"/>
      </w:pPr>
      <w:r>
        <w:rPr>
          <w:rFonts w:ascii="Aptos" w:hAnsi="Aptos"/>
          <w:b w:val="0"/>
          <w:i w:val="0"/>
          <w:color w:val="1A1F2C"/>
          <w:sz w:val="21"/>
        </w:rPr>
        <w:t>• Use traceable SEC, permitted FactSet, Excel, and other credible evidence beginning in Stage 2.</w:t>
      </w:r>
    </w:p>
    <w:p>
      <w:pPr>
        <w:ind w:left="317" w:hanging="317"/>
      </w:pPr>
      <w:r>
        <w:rPr>
          <w:rFonts w:ascii="Aptos" w:hAnsi="Aptos"/>
          <w:b w:val="0"/>
          <w:i w:val="0"/>
          <w:color w:val="1A1F2C"/>
          <w:sz w:val="21"/>
        </w:rPr>
        <w:t>• Compare credible alternatives and specify two or three supporting actions, owners, timing, resources, metrics, triggers, and risks.</w:t>
      </w:r>
    </w:p>
    <w:p>
      <w:pPr>
        <w:ind w:left="317" w:hanging="317"/>
      </w:pPr>
      <w:r>
        <w:rPr>
          <w:rFonts w:ascii="Aptos" w:hAnsi="Aptos"/>
          <w:b w:val="0"/>
          <w:i w:val="0"/>
          <w:color w:val="1A1F2C"/>
          <w:sz w:val="21"/>
        </w:rPr>
        <w:t>• Complete the work individually and be prepared to explain every submitted figure, source choice, formula, assumption, and recommendation.</w:t>
      </w:r>
    </w:p>
    <w:p>
      <w:pPr>
        <w:pStyle w:val="Heading1"/>
        <w:keepNext/>
      </w:pPr>
      <w:r>
        <w:t>Semester schedule and points</w:t>
      </w:r>
    </w:p>
    <w:tbl>
      <w:tblPr>
        <w:tblStyle w:val="TableGrid"/>
        <w:tblW w:type="dxa" w:w="9360"/>
        <w:jc w:val="left"/>
        <w:tblLayout w:type="fixed"/>
        <w:tblLook w:firstColumn="1" w:firstRow="1" w:lastColumn="0" w:lastRow="0" w:noHBand="0" w:noVBand="1" w:val="04A0"/>
        <w:tblInd w:w="120" w:type="dxa"/>
      </w:tblPr>
      <w:tblGrid>
        <w:gridCol w:w="1250"/>
        <w:gridCol w:w="3330"/>
        <w:gridCol w:w="3480"/>
        <w:gridCol w:w="1300"/>
      </w:tblGrid>
      <w:tr>
        <w:trPr>
          <w:tblHeader w:val="true"/>
          <w:cantSplit/>
        </w:trPr>
        <w:tc>
          <w:tcPr>
            <w:tcW w:type="dxa" w:w="125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Stage</w:t>
            </w:r>
          </w:p>
        </w:tc>
        <w:tc>
          <w:tcPr>
            <w:tcW w:type="dxa" w:w="33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Deliverable</w:t>
            </w:r>
          </w:p>
        </w:tc>
        <w:tc>
          <w:tcPr>
            <w:tcW w:type="dxa" w:w="348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Due</w:t>
            </w:r>
          </w:p>
        </w:tc>
        <w:tc>
          <w:tcPr>
            <w:tcW w:type="dxa" w:w="13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1</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Company research and potential CFO decision</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Sept. 9, 2026 at 12:30 p.m. ET (class-start time)</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5</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2</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Revenue engine and initial hypothesis</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Sept. 30, 2026 at 12:30 p.m. ET (class-start time)</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3</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Excel valuation model and scenarios</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Nov. 18, 2026 at 12:30 p.m. ET (class-start time)</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4</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CFO red team and revision</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Sunday, Nov. 22, 2026 at 12:30 p.m. ET (class-start time)</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5 upload</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PowerPoint company-analysis project submission</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Monday, Nov. 30, 2026 at 12:30 p.m. ET, when class begins</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5 live</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Oral Presentation</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Assigned date: Nov. 30, Dec. 2, Dec. 7, or Dec. 9</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Project total</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100</w:t>
            </w:r>
          </w:p>
        </w:tc>
      </w:tr>
    </w:tbl>
    <w:p>
      <w:pPr>
        <w:spacing w:after="20"/>
      </w:pPr>
    </w:p>
    <w:p>
      <w:pPr>
        <w:pStyle w:val="Heading1"/>
        <w:keepNext/>
      </w:pPr>
      <w:r>
        <w:t>Stage 1 — Explore the company and a CFO decision (5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An approved public company, one concrete FactSet learning, and one potential CFO decision to investigate.</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Sept. 9,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Stage 1 company exploration brief.</w:t>
      </w:r>
    </w:p>
    <w:p>
      <w:pPr>
        <w:ind w:left="317" w:hanging="317"/>
      </w:pPr>
      <w:r>
        <w:rPr>
          <w:rFonts w:ascii="Aptos" w:hAnsi="Aptos"/>
          <w:b w:val="0"/>
          <w:i w:val="0"/>
          <w:color w:val="1A1F2C"/>
          <w:sz w:val="21"/>
        </w:rPr>
        <w:t>• Identify the approved company, ticker, exchange, and your individual ownership of the work.</w:t>
      </w:r>
    </w:p>
    <w:p>
      <w:pPr>
        <w:ind w:left="317" w:hanging="317"/>
      </w:pPr>
      <w:r>
        <w:rPr>
          <w:rFonts w:ascii="Aptos" w:hAnsi="Aptos"/>
          <w:b w:val="0"/>
          <w:i w:val="0"/>
          <w:color w:val="1A1F2C"/>
          <w:sz w:val="21"/>
        </w:rPr>
        <w:t>• Use AI and/or ordinary web search for a beginner-friendly company snapshot; treat these notes as exploratory rather than verified evidence.</w:t>
      </w:r>
    </w:p>
    <w:p>
      <w:pPr>
        <w:ind w:left="317" w:hanging="317"/>
      </w:pPr>
      <w:r>
        <w:rPr>
          <w:rFonts w:ascii="Aptos" w:hAnsi="Aptos"/>
          <w:b w:val="0"/>
          <w:i w:val="0"/>
          <w:color w:val="1A1F2C"/>
          <w:sz w:val="21"/>
        </w:rPr>
        <w:t>• State one specific thing you learned from FactSet and identify the screen, report, or feature used. A company or segment metric, ownership or market item, peer observation, estimate, or relevant news/data discovery all work. Formal citation and validation are not required in Stage 1.</w:t>
      </w:r>
    </w:p>
    <w:p>
      <w:pPr>
        <w:ind w:left="317" w:hanging="317"/>
      </w:pPr>
      <w:r>
        <w:rPr>
          <w:rFonts w:ascii="Aptos" w:hAnsi="Aptos"/>
          <w:b w:val="0"/>
          <w:i w:val="0"/>
          <w:color w:val="1A1F2C"/>
          <w:sz w:val="21"/>
        </w:rPr>
        <w:t>• Propose one potential company-specific CFO decision in your own words and explain why it seems worth investigating.</w:t>
      </w:r>
    </w:p>
    <w:p>
      <w:pPr>
        <w:ind w:left="317" w:hanging="317"/>
      </w:pPr>
      <w:r>
        <w:rPr>
          <w:rFonts w:ascii="Aptos" w:hAnsi="Aptos"/>
          <w:b w:val="0"/>
          <w:i w:val="0"/>
          <w:color w:val="1A1F2C"/>
          <w:sz w:val="21"/>
        </w:rPr>
        <w:t>• List two questions to investigate in Stage 2.</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NOT REQUIRED YET  </w:t>
            </w:r>
            <w:r>
              <w:rPr>
                <w:rFonts w:ascii="Aptos" w:hAnsi="Aptos"/>
                <w:b w:val="0"/>
                <w:i w:val="0"/>
                <w:color w:val="152536"/>
                <w:sz w:val="21"/>
              </w:rPr>
              <w:t>verify the recommendation or prove the claim; validate a hypothesis; compare or defend alternatives; build an evidence register; complete formal citations; secure a formal approval gate.</w:t>
            </w:r>
          </w:p>
        </w:tc>
      </w:tr>
    </w:tbl>
    <w:p>
      <w:pPr>
        <w:spacing w:after="20"/>
      </w:pPr>
    </w:p>
    <w:p>
      <w:pPr>
        <w:pStyle w:val="Heading1"/>
        <w:keepNext/>
      </w:pPr>
      <w:r>
        <w:t>Stage 2 — Explain the revenue engine (8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 traceable revenue diagnosis and testable company hypothesis.</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Sept. 30, 2026 at 12:30 p.m. ET (class-start time)</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SUBMIT ONE REQUIRED FILE  </w:t>
            </w:r>
            <w:r>
              <w:rPr>
                <w:rFonts w:ascii="Aptos" w:hAnsi="Aptos"/>
                <w:b w:val="0"/>
                <w:i w:val="0"/>
                <w:color w:val="152536"/>
                <w:sz w:val="21"/>
              </w:rPr>
              <w:t>Upload one required file in the designated Canvas assignment: the completed BUS311 Capstone Revenue Analysis Workbook (.xlsx), including the Hypothesis &amp; Scenarios sheet. Do not create or upload a separate PDF or DOCX unless Canvas or the instructor explicitly requests an additional readable export.</w:t>
            </w:r>
          </w:p>
        </w:tc>
      </w:tr>
    </w:tbl>
    <w:p>
      <w:pPr>
        <w:spacing w:after="20"/>
      </w:pPr>
    </w:p>
    <w:p>
      <w:pPr>
        <w:pStyle w:val="Heading2"/>
        <w:keepNext/>
      </w:pPr>
      <w:r>
        <w:t>Stage 2 start here</w:t>
      </w:r>
    </w:p>
    <w:p>
      <w:pPr>
        <w:pStyle w:val="ListNumber"/>
      </w:pPr>
      <w:r>
        <w:rPr>
          <w:rFonts w:ascii="Aptos" w:hAnsi="Aptos"/>
          <w:b w:val="0"/>
          <w:i w:val="0"/>
          <w:color w:val="1A1F2C"/>
          <w:sz w:val="21"/>
        </w:rPr>
        <w:t>Read the Revenue Engine Student Guide: Use the scope limits and eight-step workflow before collecting data. File: Revenue-engine student guide.</w:t>
      </w:r>
    </w:p>
    <w:p>
      <w:pPr>
        <w:pStyle w:val="ListNumber"/>
      </w:pPr>
      <w:r>
        <w:rPr>
          <w:rFonts w:ascii="Aptos" w:hAnsi="Aptos"/>
          <w:b w:val="0"/>
          <w:i w:val="0"/>
          <w:color w:val="1A1F2C"/>
          <w:sz w:val="21"/>
        </w:rPr>
        <w:t>Complete the Revenue Analysis Workbook: Work through the nine visible sheets in order and maintain the Evidence Register as you go. File: Revenue analysis workbook.</w:t>
      </w:r>
    </w:p>
    <w:p>
      <w:pPr>
        <w:pStyle w:val="ListNumber"/>
      </w:pPr>
      <w:r>
        <w:rPr>
          <w:rFonts w:ascii="Aptos" w:hAnsi="Aptos"/>
          <w:b w:val="0"/>
          <w:i w:val="0"/>
          <w:color w:val="1A1F2C"/>
          <w:sz w:val="21"/>
        </w:rPr>
        <w:t>Test the hypothesis twice: Use the checklist before the skeptical-CFO challenge and again after revising the hypothesis. File: Revenue-hypothesis quality checklist.</w:t>
      </w:r>
    </w:p>
    <w:p>
      <w:pPr>
        <w:pStyle w:val="ListNumber"/>
      </w:pPr>
      <w:r>
        <w:rPr>
          <w:rFonts w:ascii="Aptos" w:hAnsi="Aptos"/>
          <w:b w:val="0"/>
          <w:i w:val="0"/>
          <w:color w:val="1A1F2C"/>
          <w:sz w:val="21"/>
        </w:rPr>
        <w:t>Check the eight-point rubric: Compare the completed workbook with every criterion before submission. File: Revenue milestone rubric.</w:t>
      </w:r>
    </w:p>
    <w:p>
      <w:pPr>
        <w:pStyle w:val="ListNumber"/>
      </w:pPr>
      <w:r>
        <w:rPr>
          <w:rFonts w:ascii="Aptos" w:hAnsi="Aptos"/>
          <w:b w:val="0"/>
          <w:i w:val="0"/>
          <w:color w:val="1A1F2C"/>
          <w:sz w:val="21"/>
        </w:rPr>
        <w:t>Resolve checks and submit: Review Checks &amp; Submission, explain honest limitations, and upload the completed .xlsx in Canvas. File: Revenue analysis workbook.</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NEED FACTSET ACCESS OR THE EXCEL ADD-IN?  </w:t>
            </w:r>
            <w:r>
              <w:rPr>
                <w:rFonts w:ascii="Aptos" w:hAnsi="Aptos"/>
                <w:b w:val="0"/>
                <w:i w:val="0"/>
                <w:color w:val="152536"/>
                <w:sz w:val="21"/>
              </w:rPr>
              <w:t>Use the course FactSet activation and Excel setup page before beginning the workbook. Keep raw FactSet exports and screenshots inside approved course-restricted systems. https://endicott.instructure.com/courses/58525/pages/activate-factset-and-add-it-to-excel</w:t>
            </w:r>
          </w:p>
        </w:tc>
      </w:tr>
    </w:tbl>
    <w:p>
      <w:pPr>
        <w:spacing w:after="20"/>
      </w:pPr>
    </w:p>
    <w:p>
      <w:pPr>
        <w:ind w:left="317" w:hanging="317"/>
      </w:pPr>
      <w:r>
        <w:rPr>
          <w:rFonts w:ascii="Aptos" w:hAnsi="Aptos"/>
          <w:b w:val="0"/>
          <w:i w:val="0"/>
          <w:color w:val="1A1F2C"/>
          <w:sz w:val="21"/>
        </w:rPr>
        <w:t>• Map relevant products or services, segments, geographies, customers, channels, pricing, and recurring or transactional revenue.</w:t>
      </w:r>
    </w:p>
    <w:p>
      <w:pPr>
        <w:ind w:left="317" w:hanging="317"/>
      </w:pPr>
      <w:r>
        <w:rPr>
          <w:rFonts w:ascii="Aptos" w:hAnsi="Aptos"/>
          <w:b w:val="0"/>
          <w:i w:val="0"/>
          <w:color w:val="1A1F2C"/>
          <w:sz w:val="21"/>
        </w:rPr>
        <w:t>• Analyze three to five comparable fiscal years and reconcile changes in periods, units, definitions, and segment reporting.</w:t>
      </w:r>
    </w:p>
    <w:p>
      <w:pPr>
        <w:ind w:left="317" w:hanging="317"/>
      </w:pPr>
      <w:r>
        <w:rPr>
          <w:rFonts w:ascii="Aptos" w:hAnsi="Aptos"/>
          <w:b w:val="0"/>
          <w:i w:val="0"/>
          <w:color w:val="1A1F2C"/>
          <w:sz w:val="21"/>
        </w:rPr>
        <w:t>• Separate company-relevant drivers such as price, volume, mix, currency, acquisitions, capacity, retention, utilization, or backlog from temporary effects.</w:t>
      </w:r>
    </w:p>
    <w:p>
      <w:pPr>
        <w:ind w:left="317" w:hanging="317"/>
      </w:pPr>
      <w:r>
        <w:rPr>
          <w:rFonts w:ascii="Aptos" w:hAnsi="Aptos"/>
          <w:b w:val="0"/>
          <w:i w:val="0"/>
          <w:color w:val="1A1F2C"/>
          <w:sz w:val="21"/>
        </w:rPr>
        <w:t>• Use SEC and permitted FactSet evidence with source, period, units, definition, exact location, and limitations.</w:t>
      </w:r>
    </w:p>
    <w:p>
      <w:pPr>
        <w:ind w:left="317" w:hanging="317"/>
      </w:pPr>
      <w:r>
        <w:rPr>
          <w:rFonts w:ascii="Aptos" w:hAnsi="Aptos"/>
          <w:b w:val="0"/>
          <w:i w:val="0"/>
          <w:color w:val="1A1F2C"/>
          <w:sz w:val="21"/>
        </w:rPr>
        <w:t>• State a testable revenue hypothesis naming the driver, expected effect, period, and falsification evidence.</w:t>
      </w:r>
    </w:p>
    <w:p>
      <w:pPr>
        <w:ind w:left="317" w:hanging="317"/>
      </w:pPr>
      <w:r>
        <w:rPr>
          <w:rFonts w:ascii="Aptos" w:hAnsi="Aptos"/>
          <w:b w:val="0"/>
          <w:i w:val="0"/>
          <w:color w:val="1A1F2C"/>
          <w:sz w:val="21"/>
        </w:rPr>
        <w:t>• Verify the strongest retained AI challenge and record an accept, modify, or reject judgment.</w:t>
      </w:r>
    </w:p>
    <w:p>
      <w:pPr>
        <w:pStyle w:val="Heading2"/>
        <w:keepNext/>
      </w:pPr>
      <w:r>
        <w:t>Common Stage 2 edge cases</w:t>
      </w:r>
    </w:p>
    <w:p>
      <w:pPr>
        <w:ind w:left="317" w:hanging="317"/>
      </w:pPr>
      <w:r>
        <w:rPr>
          <w:rFonts w:ascii="Aptos" w:hAnsi="Aptos"/>
          <w:b w:val="0"/>
          <w:i w:val="0"/>
          <w:color w:val="1A1F2C"/>
          <w:sz w:val="21"/>
        </w:rPr>
        <w:t>• Fewer than three defensible peers: Use the defensible peers available and explain why additional companies are not sufficiently comparable.</w:t>
      </w:r>
    </w:p>
    <w:p>
      <w:pPr>
        <w:ind w:left="317" w:hanging="317"/>
      </w:pPr>
      <w:r>
        <w:rPr>
          <w:rFonts w:ascii="Aptos" w:hAnsi="Aptos"/>
          <w:b w:val="0"/>
          <w:i w:val="0"/>
          <w:color w:val="1A1F2C"/>
          <w:sz w:val="21"/>
        </w:rPr>
        <w:t>• A segment, market-share measure, or driver is not disclosed: State the limitation, use a supportable proxy only when its definition is clear, and never invent a figure.</w:t>
      </w:r>
    </w:p>
    <w:p>
      <w:pPr>
        <w:ind w:left="317" w:hanging="317"/>
      </w:pPr>
      <w:r>
        <w:rPr>
          <w:rFonts w:ascii="Aptos" w:hAnsi="Aptos"/>
          <w:b w:val="0"/>
          <w:i w:val="0"/>
          <w:color w:val="1A1F2C"/>
          <w:sz w:val="21"/>
        </w:rPr>
        <w:t>• Definitions changed across years: Reconcile or disclose restatements, acquisitions, divestitures, fiscal-year changes, and segment-definition changes before comparing growth.</w:t>
      </w:r>
    </w:p>
    <w:p>
      <w:pPr>
        <w:ind w:left="317" w:hanging="317"/>
      </w:pPr>
      <w:r>
        <w:rPr>
          <w:rFonts w:ascii="Aptos" w:hAnsi="Aptos"/>
          <w:b w:val="0"/>
          <w:i w:val="0"/>
          <w:color w:val="1A1F2C"/>
          <w:sz w:val="21"/>
        </w:rPr>
        <w:t>• A driver cannot be quantified: Classify it as directional, cite the supporting evidence, and state what would be needed to quantify it.</w:t>
      </w:r>
    </w:p>
    <w:p>
      <w:pPr>
        <w:ind w:left="317" w:hanging="317"/>
      </w:pPr>
      <w:r>
        <w:rPr>
          <w:rFonts w:ascii="Aptos" w:hAnsi="Aptos"/>
          <w:b w:val="0"/>
          <w:i w:val="0"/>
          <w:color w:val="1A1F2C"/>
          <w:sz w:val="21"/>
        </w:rPr>
        <w:t>• Using AI or the non-AI path: Either path must produce the same skeptical-CFO challenge record. AI output is not evidence, and raw FactSet files or screenshots may not be uploaded to public AI tools.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WHAT PASS MEANS  </w:t>
            </w:r>
            <w:r>
              <w:rPr>
                <w:rFonts w:ascii="Aptos" w:hAnsi="Aptos"/>
                <w:b w:val="0"/>
                <w:i w:val="0"/>
                <w:color w:val="152536"/>
                <w:sz w:val="21"/>
              </w:rPr>
              <w:t>PASS on the workbook's Checks &amp; Submission sheet confirms that the required fields and structural checks are complete. It does not guarantee full credit or prove that the analysis, evidence, or judgment is correct.</w:t>
            </w:r>
          </w:p>
        </w:tc>
      </w:tr>
    </w:tbl>
    <w:p>
      <w:pPr>
        <w:spacing w:after="20"/>
      </w:pPr>
    </w:p>
    <w:p>
      <w:pPr>
        <w:pStyle w:val="Heading1"/>
        <w:keepNext/>
      </w:pPr>
      <w:r>
        <w:t>Stage 3 — Model value and scenarios (8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An auditable valuation model with linked scenarios and sensitivities.</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Nov. 18,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Valuation working model.</w:t>
      </w:r>
    </w:p>
    <w:p>
      <w:pPr>
        <w:ind w:left="317" w:hanging="317"/>
      </w:pPr>
      <w:r>
        <w:rPr>
          <w:rFonts w:ascii="Aptos" w:hAnsi="Aptos"/>
          <w:b w:val="0"/>
          <w:i w:val="0"/>
          <w:color w:val="1A1F2C"/>
          <w:sz w:val="21"/>
        </w:rPr>
        <w:t>• Separate inputs, sources, calculations, outputs, checks, scenarios, and sensitivities.</w:t>
      </w:r>
    </w:p>
    <w:p>
      <w:pPr>
        <w:ind w:left="317" w:hanging="317"/>
      </w:pPr>
      <w:r>
        <w:rPr>
          <w:rFonts w:ascii="Aptos" w:hAnsi="Aptos"/>
          <w:b w:val="0"/>
          <w:i w:val="0"/>
          <w:color w:val="1A1F2C"/>
          <w:sz w:val="21"/>
        </w:rPr>
        <w:t>• Link base, upside, and downside cases explicitly to revenue drivers and the developing CFO decision.</w:t>
      </w:r>
    </w:p>
    <w:p>
      <w:pPr>
        <w:ind w:left="317" w:hanging="317"/>
      </w:pPr>
      <w:r>
        <w:rPr>
          <w:rFonts w:ascii="Aptos" w:hAnsi="Aptos"/>
          <w:b w:val="0"/>
          <w:i w:val="0"/>
          <w:color w:val="1A1F2C"/>
          <w:sz w:val="21"/>
        </w:rPr>
        <w:t>• Use applicable tax, NOPAT, depreciation, capital expenditure, working-capital, discount-rate, terminal-value, and enterprise-to-equity logic.</w:t>
      </w:r>
    </w:p>
    <w:p>
      <w:pPr>
        <w:ind w:left="317" w:hanging="317"/>
      </w:pPr>
      <w:r>
        <w:rPr>
          <w:rFonts w:ascii="Aptos" w:hAnsi="Aptos"/>
          <w:b w:val="0"/>
          <w:i w:val="0"/>
          <w:color w:val="1A1F2C"/>
          <w:sz w:val="21"/>
        </w:rPr>
        <w:t>• Resolve formula and sign errors; show scenario consistency, valuation bridges, terminal-value reasonableness, and sensitivity links.</w:t>
      </w:r>
    </w:p>
    <w:p>
      <w:pPr>
        <w:ind w:left="317" w:hanging="317"/>
      </w:pPr>
      <w:r>
        <w:rPr>
          <w:rFonts w:ascii="Aptos" w:hAnsi="Aptos"/>
          <w:b w:val="0"/>
          <w:i w:val="0"/>
          <w:color w:val="1A1F2C"/>
          <w:sz w:val="21"/>
        </w:rPr>
        <w:t>• Label every material SEC and FactSet assumption with the item or report name, as-of date, units, and limitations.</w:t>
      </w:r>
    </w:p>
    <w:p>
      <w:pPr>
        <w:pStyle w:val="Heading1"/>
        <w:keepNext/>
      </w:pPr>
      <w:r>
        <w:t>Stage 4 — Challenge and revise (4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 verified red-team record and a revised or defended recommendation.</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Sunday, Nov. 22,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Completed red-team record.</w:t>
      </w:r>
    </w:p>
    <w:p>
      <w:pPr>
        <w:ind w:left="317" w:hanging="317"/>
      </w:pPr>
      <w:r>
        <w:rPr>
          <w:rFonts w:ascii="Aptos" w:hAnsi="Aptos"/>
          <w:b w:val="0"/>
          <w:i w:val="0"/>
          <w:color w:val="1A1F2C"/>
          <w:sz w:val="21"/>
        </w:rPr>
        <w:t>• Document context, assumptions, prompt purpose, strongest challenge, and the output retained.</w:t>
      </w:r>
    </w:p>
    <w:p>
      <w:pPr>
        <w:ind w:left="317" w:hanging="317"/>
      </w:pPr>
      <w:r>
        <w:rPr>
          <w:rFonts w:ascii="Aptos" w:hAnsi="Aptos"/>
          <w:b w:val="0"/>
          <w:i w:val="0"/>
          <w:color w:val="1A1F2C"/>
          <w:sz w:val="21"/>
        </w:rPr>
        <w:t>• Check the challenge using an exact SEC filing, FactSet item, Excel calculation, or course concept.</w:t>
      </w:r>
    </w:p>
    <w:p>
      <w:pPr>
        <w:ind w:left="317" w:hanging="317"/>
      </w:pPr>
      <w:r>
        <w:rPr>
          <w:rFonts w:ascii="Aptos" w:hAnsi="Aptos"/>
          <w:b w:val="0"/>
          <w:i w:val="0"/>
          <w:color w:val="1A1F2C"/>
          <w:sz w:val="21"/>
        </w:rPr>
        <w:t>• Record the finding, uncertainty, accept/modify/reject judgment, and the resulting revision or defense.</w:t>
      </w:r>
    </w:p>
    <w:p>
      <w:pPr>
        <w:ind w:left="317" w:hanging="317"/>
      </w:pPr>
      <w:r>
        <w:rPr>
          <w:rFonts w:ascii="Aptos" w:hAnsi="Aptos"/>
          <w:b w:val="0"/>
          <w:i w:val="0"/>
          <w:color w:val="1A1F2C"/>
          <w:sz w:val="21"/>
        </w:rPr>
        <w:t>• Prepare the final verified AI-use disclosure and rehearse the Oral Presentation, including live questions.</w:t>
      </w:r>
    </w:p>
    <w:p>
      <w:pPr>
        <w:ind w:left="317" w:hanging="317"/>
      </w:pPr>
      <w:r>
        <w:rPr>
          <w:rFonts w:ascii="Aptos" w:hAnsi="Aptos"/>
          <w:b w:val="0"/>
          <w:i w:val="0"/>
          <w:color w:val="1A1F2C"/>
          <w:sz w:val="21"/>
        </w:rPr>
        <w:t>• Never provide raw licensed FactSet files or screenshots, private information, instructor-only material, or nonpublic information to a public AI tool.</w:t>
      </w:r>
    </w:p>
    <w:p>
      <w:r>
        <w:br w:type="page"/>
      </w:r>
    </w:p>
    <w:p>
      <w:pPr>
        <w:pStyle w:val="Heading1"/>
        <w:keepNext/>
      </w:pPr>
      <w:r>
        <w:t>Stage 5 — Submit the company analysis and present to the Board (75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EXACTLY TWO ASSESSED COMPONENTS  </w:t>
            </w:r>
            <w:r>
              <w:rPr>
                <w:rFonts w:ascii="Aptos" w:hAnsi="Aptos"/>
                <w:b w:val="0"/>
                <w:i w:val="0"/>
                <w:color w:val="152536"/>
                <w:sz w:val="21"/>
              </w:rPr>
              <w:t>PowerPoint company-analysis project submission — 50 points; Oral Presentation — 25 points. There is one uploaded file and one live performance.</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1900"/>
        <w:gridCol w:w="3730"/>
        <w:gridCol w:w="3730"/>
      </w:tblGrid>
      <w:tr>
        <w:trPr>
          <w:tblHeader w:val="true"/>
          <w:cantSplit/>
        </w:trPr>
        <w:tc>
          <w:tcPr>
            <w:tcW w:type="dxa" w:w="19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Expectation</w:t>
            </w:r>
          </w:p>
        </w:tc>
        <w:tc>
          <w:tcPr>
            <w:tcW w:type="dxa" w:w="37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PowerPoint upload</w:t>
            </w:r>
          </w:p>
        </w:tc>
        <w:tc>
          <w:tcPr>
            <w:tcW w:type="dxa" w:w="37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Oral Presentation</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What you do</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Upload one editable company-analysis .pptx</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Present the submitted deck individually to the class</w:t>
            </w:r>
          </w:p>
        </w:tc>
      </w:tr>
      <w:tr>
        <w:trPr>
          <w:cantSplit/>
        </w:trPr>
        <w:tc>
          <w:tcPr>
            <w:tcW w:type="dxa" w:w="19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When</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Monday, Nov. 30, 2026 at 12:30 p.m. ET, when class begins</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Assigned date between Nov. 30 and Dec. 9</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Length</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8-10 core slides plus optional analytical appendix</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Up to 7 minutes presenting plus up to 3 minutes responding to live questions</w:t>
            </w:r>
          </w:p>
        </w:tc>
      </w:tr>
      <w:tr>
        <w:trPr>
          <w:cantSplit/>
        </w:trPr>
        <w:tc>
          <w:tcPr>
            <w:tcW w:type="dxa" w:w="19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Points</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Canvas</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One file is uploaded</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No second Stage 5 file is uploaded</w:t>
            </w:r>
          </w:p>
        </w:tc>
      </w:tr>
    </w:tbl>
    <w:p>
      <w:pPr>
        <w:spacing w:after="20"/>
      </w:pPr>
    </w:p>
    <w:p>
      <w:pPr>
        <w:pStyle w:val="Heading2"/>
        <w:keepNext/>
      </w:pPr>
      <w:r>
        <w:t>Component 1 — PowerPoint company-analysis project submission (50 points)</w:t>
      </w:r>
    </w:p>
    <w:p>
      <w:pPr>
        <w:spacing w:after="100"/>
      </w:pPr>
      <w:r>
        <w:rPr>
          <w:rFonts w:ascii="Aptos" w:hAnsi="Aptos"/>
          <w:b/>
          <w:i w:val="0"/>
          <w:color w:val="1A1F2C"/>
          <w:sz w:val="21"/>
        </w:rPr>
        <w:t xml:space="preserve">Required filename: </w:t>
      </w:r>
      <w:r>
        <w:rPr>
          <w:rFonts w:ascii="Aptos" w:hAnsi="Aptos"/>
          <w:b w:val="0"/>
          <w:i w:val="0"/>
          <w:color w:val="1A1F2C"/>
          <w:sz w:val="21"/>
        </w:rPr>
        <w:t>BUS311_[LastName]_[Ticker]_CompanyAnalysis.pptx</w:t>
      </w:r>
    </w:p>
    <w:p>
      <w:pPr>
        <w:ind w:left="317" w:hanging="317"/>
      </w:pPr>
      <w:r>
        <w:rPr>
          <w:rFonts w:ascii="Aptos" w:hAnsi="Aptos"/>
          <w:b w:val="0"/>
          <w:i w:val="0"/>
          <w:color w:val="1A1F2C"/>
          <w:sz w:val="21"/>
        </w:rPr>
        <w:t>• Submit exactly one editable PowerPoint (.pptx) by the final file lock. PDF-only, image-only, link-only, or noneditable substitutes do not meet the format requirement.</w:t>
      </w:r>
    </w:p>
    <w:p>
      <w:pPr>
        <w:ind w:left="317" w:hanging="317"/>
      </w:pPr>
      <w:r>
        <w:rPr>
          <w:rFonts w:ascii="Aptos" w:hAnsi="Aptos"/>
          <w:b w:val="0"/>
          <w:i w:val="0"/>
          <w:color w:val="1A1F2C"/>
          <w:sz w:val="21"/>
        </w:rPr>
        <w:t>• Use 8-10 core slides. Optional analytical appendix slides may support deeper evidence and live questions; they do not replace a concise core decision narrative.</w:t>
      </w:r>
    </w:p>
    <w:p>
      <w:pPr>
        <w:ind w:left="317" w:hanging="317"/>
      </w:pPr>
      <w:r>
        <w:rPr>
          <w:rFonts w:ascii="Aptos" w:hAnsi="Aptos"/>
          <w:b w:val="0"/>
          <w:i w:val="0"/>
          <w:color w:val="1A1F2C"/>
          <w:sz w:val="21"/>
        </w:rPr>
        <w:t>• Lead with the requested Board decision and one company-specific CFO recommendation.</w:t>
      </w:r>
    </w:p>
    <w:p>
      <w:pPr>
        <w:ind w:left="317" w:hanging="317"/>
      </w:pPr>
      <w:r>
        <w:rPr>
          <w:rFonts w:ascii="Aptos" w:hAnsi="Aptos"/>
          <w:b w:val="0"/>
          <w:i w:val="0"/>
          <w:color w:val="1A1F2C"/>
          <w:sz w:val="21"/>
        </w:rPr>
        <w:t>• Show the revenue engine, three-to-five-year evidence, company-specific drivers, testable hypothesis, and verified red-team revision before valuation.</w:t>
      </w:r>
    </w:p>
    <w:p>
      <w:pPr>
        <w:ind w:left="317" w:hanging="317"/>
      </w:pPr>
      <w:r>
        <w:rPr>
          <w:rFonts w:ascii="Aptos" w:hAnsi="Aptos"/>
          <w:b w:val="0"/>
          <w:i w:val="0"/>
          <w:color w:val="1A1F2C"/>
          <w:sz w:val="21"/>
        </w:rPr>
        <w:t>• Reconcile valuation or capital-budgeting outputs, base/upside/downside scenarios, and decision-changing sensitivities to the assessed Excel model.</w:t>
      </w:r>
    </w:p>
    <w:p>
      <w:pPr>
        <w:ind w:left="317" w:hanging="317"/>
      </w:pPr>
      <w:r>
        <w:rPr>
          <w:rFonts w:ascii="Aptos" w:hAnsi="Aptos"/>
          <w:b w:val="0"/>
          <w:i w:val="0"/>
          <w:color w:val="1A1F2C"/>
          <w:sz w:val="21"/>
        </w:rPr>
        <w:t>• Compare credible alternatives and specify two or three actions with owners, timing, resources, dependencies, indicators, triggers, risks, and mitigations.</w:t>
      </w:r>
    </w:p>
    <w:p>
      <w:pPr>
        <w:ind w:left="317" w:hanging="317"/>
      </w:pPr>
      <w:r>
        <w:rPr>
          <w:rFonts w:ascii="Aptos" w:hAnsi="Aptos"/>
          <w:b w:val="0"/>
          <w:i w:val="0"/>
          <w:color w:val="1A1F2C"/>
          <w:sz w:val="21"/>
        </w:rPr>
        <w:t>• Use readable, accessible, editable or traceable visuals with units, periods, definitions, compact SEC/FactSet/model source notes, limitations, and the verified AI-use disclosure.</w:t>
      </w:r>
    </w:p>
    <w:p>
      <w:r>
        <w:br w:type="page"/>
      </w:r>
    </w:p>
    <w:p>
      <w:pPr>
        <w:pStyle w:val="Heading2"/>
        <w:keepNext/>
      </w:pPr>
      <w:r>
        <w:t>Component 2 — Oral Presentation (25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LIVE REQUIREMENT  </w:t>
            </w:r>
            <w:r>
              <w:rPr>
                <w:rFonts w:ascii="Aptos" w:hAnsi="Aptos"/>
                <w:b w:val="0"/>
                <w:i w:val="0"/>
                <w:color w:val="152536"/>
                <w:sz w:val="21"/>
              </w:rPr>
              <w:t>Present the submitted PowerPoint individually on your assigned date. The live performance is not a second upload. Delivery and responses to questions are assessed together in this single 25-point criterion.</w:t>
            </w:r>
          </w:p>
        </w:tc>
      </w:tr>
    </w:tbl>
    <w:p>
      <w:pPr>
        <w:spacing w:after="20"/>
      </w:pPr>
    </w:p>
    <w:p>
      <w:pPr>
        <w:ind w:left="317" w:hanging="317"/>
      </w:pPr>
      <w:r>
        <w:rPr>
          <w:rFonts w:ascii="Aptos" w:hAnsi="Aptos"/>
          <w:b w:val="0"/>
          <w:i w:val="0"/>
          <w:color w:val="1A1F2C"/>
          <w:sz w:val="21"/>
        </w:rPr>
        <w:t>• Use up to seven minutes for the decision briefing. Lead with the recommendation, explain revenue before valuation, and use the deck as evidence rather than as a script.</w:t>
      </w:r>
    </w:p>
    <w:p>
      <w:pPr>
        <w:ind w:left="317" w:hanging="317"/>
      </w:pPr>
      <w:r>
        <w:rPr>
          <w:rFonts w:ascii="Aptos" w:hAnsi="Aptos"/>
          <w:b w:val="0"/>
          <w:i w:val="0"/>
          <w:color w:val="1A1F2C"/>
          <w:sz w:val="21"/>
        </w:rPr>
        <w:t>• Use a clear professional voice, controlled pacing, purposeful transitions, accurate terminology, and communication appropriate for a CFO-and-Board audience in the classroom.</w:t>
      </w:r>
    </w:p>
    <w:p>
      <w:pPr>
        <w:ind w:left="317" w:hanging="317"/>
      </w:pPr>
      <w:r>
        <w:rPr>
          <w:rFonts w:ascii="Aptos" w:hAnsi="Aptos"/>
          <w:b w:val="0"/>
          <w:i w:val="0"/>
          <w:color w:val="1A1F2C"/>
          <w:sz w:val="21"/>
        </w:rPr>
        <w:t>• For up to three additional minutes, respond to live questions about sources, revenue drivers, assumptions, calculations, scenarios, alternatives, implementation, risks, and conditions that would change the decision.</w:t>
      </w:r>
    </w:p>
    <w:p>
      <w:pPr>
        <w:ind w:left="317" w:hanging="317"/>
      </w:pPr>
      <w:r>
        <w:rPr>
          <w:rFonts w:ascii="Aptos" w:hAnsi="Aptos"/>
          <w:b w:val="0"/>
          <w:i w:val="0"/>
          <w:color w:val="1A1F2C"/>
          <w:sz w:val="21"/>
        </w:rPr>
        <w:t>• Trace answers to SEC, FactSet, Excel, or course evidence. Reconcile differing definitions when challenged.</w:t>
      </w:r>
    </w:p>
    <w:p>
      <w:pPr>
        <w:ind w:left="317" w:hanging="317"/>
      </w:pPr>
      <w:r>
        <w:rPr>
          <w:rFonts w:ascii="Aptos" w:hAnsi="Aptos"/>
          <w:b w:val="0"/>
          <w:i w:val="0"/>
          <w:color w:val="1A1F2C"/>
          <w:sz w:val="21"/>
        </w:rPr>
        <w:t>• If uncertain, state the limitation and identify the next evidence or calculation needed rather than inventing an answer.</w:t>
      </w:r>
    </w:p>
    <w:p>
      <w:pPr>
        <w:ind w:left="317" w:hanging="317"/>
      </w:pPr>
      <w:r>
        <w:rPr>
          <w:rFonts w:ascii="Aptos" w:hAnsi="Aptos"/>
          <w:b w:val="0"/>
          <w:i w:val="0"/>
          <w:color w:val="1A1F2C"/>
          <w:sz w:val="21"/>
        </w:rPr>
        <w:t>• Demonstrate individual ownership of the research, model, recommendation, submitted deck, and live responses.</w:t>
      </w:r>
    </w:p>
    <w:tbl>
      <w:tblPr>
        <w:tblStyle w:val="TableGrid"/>
        <w:tblW w:type="dxa" w:w="9360"/>
        <w:jc w:val="left"/>
        <w:tblLayout w:type="fixed"/>
        <w:tblLook w:firstColumn="1" w:firstRow="1" w:lastColumn="0" w:lastRow="0" w:noHBand="0" w:noVBand="1" w:val="04A0"/>
        <w:tblInd w:w="120" w:type="dxa"/>
      </w:tblPr>
      <w:tblGrid>
        <w:gridCol w:w="2100"/>
        <w:gridCol w:w="2100"/>
        <w:gridCol w:w="5160"/>
      </w:tblGrid>
      <w:tr>
        <w:trPr>
          <w:tblHeader w:val="true"/>
          <w:cantSplit/>
        </w:trPr>
        <w:tc>
          <w:tcPr>
            <w:tcW w:type="dxa" w:w="2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Class date</w:t>
            </w:r>
          </w:p>
        </w:tc>
        <w:tc>
          <w:tcPr>
            <w:tcW w:type="dxa" w:w="2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Planned presenters</w:t>
            </w:r>
          </w:p>
        </w:tc>
        <w:tc>
          <w:tcPr>
            <w:tcW w:type="dxa" w:w="51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Individual time target</w:t>
            </w:r>
          </w:p>
        </w:tc>
      </w:tr>
      <w:tr>
        <w:trPr>
          <w:cantSplit/>
        </w:trPr>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Nov. 30</w:t>
            </w:r>
          </w:p>
        </w:tc>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tcMar>
              <w:top w:w="100" w:type="dxa"/>
              <w:start w:w="120" w:type="dxa"/>
              <w:bottom w:w="100" w:type="dxa"/>
              <w:end w:w="120" w:type="dxa"/>
            </w:tcMar>
            <w:vAlign w:val="center"/>
          </w:tcPr>
          <w:p>
            <w:pPr>
              <w:spacing w:after="20" w:line="247" w:lineRule="auto"/>
            </w:pPr>
            <w:r/>
            <w:r>
              <w:rPr>
                <w:rFonts w:ascii="Aptos" w:hAnsi="Aptos"/>
                <w:b w:val="0"/>
                <w:i w:val="0"/>
                <w:color w:val="1A1F2C"/>
                <w:sz w:val="18"/>
              </w:rPr>
              <w:t>Up to 7 minutes presenting + up to 3 minutes for live questions + transition</w:t>
            </w:r>
          </w:p>
        </w:tc>
      </w:tr>
      <w:tr>
        <w:trPr>
          <w:cantSplit/>
        </w:trPr>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2</w:t>
            </w:r>
          </w:p>
        </w:tc>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r>
        <w:trPr>
          <w:cantSplit/>
        </w:trPr>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7</w:t>
            </w:r>
          </w:p>
        </w:tc>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r>
        <w:trPr>
          <w:cantSplit/>
        </w:trPr>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9</w:t>
            </w:r>
          </w:p>
        </w:tc>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c>
          <w:tcPr>
            <w:tcW w:type="dxa" w:w="51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bl>
    <w:p>
      <w:pPr>
        <w:spacing w:after="20"/>
      </w:pPr>
    </w:p>
    <w:p>
      <w:pPr>
        <w:pStyle w:val="Heading1"/>
        <w:keepNext/>
      </w:pPr>
      <w:r>
        <w:t>Scoring overview</w:t>
      </w:r>
    </w:p>
    <w:tbl>
      <w:tblPr>
        <w:tblStyle w:val="TableGrid"/>
        <w:tblW w:type="dxa" w:w="9360"/>
        <w:jc w:val="left"/>
        <w:tblLayout w:type="fixed"/>
        <w:tblLook w:firstColumn="1" w:firstRow="1" w:lastColumn="0" w:lastRow="0" w:noHBand="0" w:noVBand="1" w:val="04A0"/>
        <w:tblInd w:w="120" w:type="dxa"/>
      </w:tblPr>
      <w:tblGrid>
        <w:gridCol w:w="7960"/>
        <w:gridCol w:w="1400"/>
      </w:tblGrid>
      <w:tr>
        <w:trPr>
          <w:tblHeader w:val="true"/>
          <w:cantSplit/>
        </w:trPr>
        <w:tc>
          <w:tcPr>
            <w:tcW w:type="dxa" w:w="79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Criterion</w:t>
            </w:r>
          </w:p>
        </w:tc>
        <w:tc>
          <w:tcPr>
            <w:tcW w:type="dxa" w:w="14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Points</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 exploration and potential CFO decision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Revenue engine and initial hypothesis</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Valuation model and scenarios</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AI red team and revision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50</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w:t>
            </w:r>
          </w:p>
        </w:tc>
      </w:tr>
    </w:tbl>
    <w:p>
      <w:pPr>
        <w:spacing w:after="20"/>
      </w:pPr>
    </w:p>
    <w:p>
      <w:pPr>
        <w:spacing w:after="100"/>
      </w:pPr>
      <w:r>
        <w:rPr>
          <w:rFonts w:ascii="Aptos" w:hAnsi="Aptos"/>
          <w:b w:val="0"/>
          <w:i w:val="0"/>
          <w:color w:val="1A1F2C"/>
          <w:sz w:val="21"/>
        </w:rPr>
        <w:t>Stages 1-4 remain 5, 8, 8, and 4 points. Stage 5 contains exactly two criteria worth 50 and 25 points.</w:t>
      </w:r>
    </w:p>
    <w:p>
      <w:r>
        <w:br w:type="page"/>
      </w:r>
    </w:p>
    <w:p>
      <w:pPr>
        <w:pStyle w:val="Heading1"/>
        <w:keepNext/>
      </w:pPr>
      <w:r>
        <w:t>Policies and final readiness</w:t>
      </w:r>
    </w:p>
    <w:p>
      <w:pPr>
        <w:spacing w:after="100"/>
      </w:pPr>
      <w:r>
        <w:rPr>
          <w:rFonts w:ascii="Aptos" w:hAnsi="Aptos"/>
          <w:b/>
          <w:i w:val="0"/>
          <w:color w:val="1A1F2C"/>
          <w:sz w:val="21"/>
        </w:rPr>
        <w:t xml:space="preserve">Individual work: </w:t>
      </w:r>
      <w:r>
        <w:rPr>
          <w:rFonts w:ascii="Aptos" w:hAnsi="Aptos"/>
          <w:b w:val="0"/>
          <w:i w:val="0"/>
          <w:color w:val="1A1F2C"/>
          <w:sz w:val="21"/>
        </w:rPr>
        <w:t>Each student owns the research, evidence selection, model, writing, slides, the Oral Presentation, and responses to live questions. Every submitted figure, formula, source choice, and recommendation must be explainable by that student.</w:t>
      </w:r>
    </w:p>
    <w:p>
      <w:pPr>
        <w:spacing w:after="100"/>
      </w:pPr>
      <w:r>
        <w:rPr>
          <w:rFonts w:ascii="Aptos" w:hAnsi="Aptos"/>
          <w:b/>
          <w:i w:val="0"/>
          <w:color w:val="1A1F2C"/>
          <w:sz w:val="21"/>
        </w:rPr>
        <w:t xml:space="preserve">Sources and FactSet: </w:t>
      </w:r>
      <w:r>
        <w:rPr>
          <w:rFonts w:ascii="Aptos" w:hAnsi="Aptos"/>
          <w:b w:val="0"/>
          <w:i w:val="0"/>
          <w:color w:val="1A1F2C"/>
          <w:sz w:val="21"/>
        </w:rPr>
        <w:t>Beginning in Stage 2, material claims and model inputs must be traceable to SEC filings, permitted FactSet evidence, Excel calculations, or another credible named source. FactSet labels include item or report name, period or as-of date, units, and access date. Conflicting definitions are reconciled or disclosed.</w:t>
      </w:r>
    </w:p>
    <w:p>
      <w:pPr>
        <w:spacing w:after="100"/>
      </w:pPr>
      <w:r>
        <w:rPr>
          <w:rFonts w:ascii="Aptos" w:hAnsi="Aptos"/>
          <w:b/>
          <w:i w:val="0"/>
          <w:color w:val="1A1F2C"/>
          <w:sz w:val="21"/>
        </w:rPr>
        <w:t xml:space="preserve">Verified AI judgment: </w:t>
      </w:r>
      <w:r>
        <w:rPr>
          <w:rFonts w:ascii="Aptos" w:hAnsi="Aptos"/>
          <w:b w:val="0"/>
          <w:i w:val="0"/>
          <w:color w:val="1A1F2C"/>
          <w:sz w:val="21"/>
        </w:rPr>
        <w:t>After Stage 1, AI may challenge student work but is never financial evidence. Retained output must be independently checked with SEC, FactSet, Excel, or course concepts and classified as accepted, modified, or rejected with a human rationale. Raw licensed data and screenshots are not uploaded to public AI tools.</w:t>
      </w:r>
    </w:p>
    <w:p>
      <w:pPr>
        <w:spacing w:after="100"/>
      </w:pPr>
      <w:r>
        <w:rPr>
          <w:rFonts w:ascii="Aptos" w:hAnsi="Aptos"/>
          <w:b/>
          <w:i w:val="0"/>
          <w:color w:val="1A1F2C"/>
          <w:sz w:val="21"/>
        </w:rPr>
        <w:t xml:space="preserve">Late milestones: </w:t>
      </w:r>
      <w:r>
        <w:rPr>
          <w:rFonts w:ascii="Aptos" w:hAnsi="Aptos"/>
          <w:b w:val="0"/>
          <w:i w:val="0"/>
          <w:color w:val="1A1F2C"/>
          <w:sz w:val="21"/>
        </w:rPr>
        <w:t>Milestones remain eligible under the BUS311 syllabus late-work policy. A late milestone delays feedback and can make dependent project work harder; complete missing milestone work before relying on it in a later stage. Documented exceptions follow the applicable college and course process.</w:t>
      </w:r>
    </w:p>
    <w:p>
      <w:pPr>
        <w:spacing w:after="100"/>
      </w:pPr>
      <w:r>
        <w:rPr>
          <w:rFonts w:ascii="Aptos" w:hAnsi="Aptos"/>
          <w:b/>
          <w:i w:val="0"/>
          <w:color w:val="1A1F2C"/>
          <w:sz w:val="21"/>
        </w:rPr>
        <w:t xml:space="preserve">Revision: </w:t>
      </w:r>
      <w:r>
        <w:rPr>
          <w:rFonts w:ascii="Aptos" w:hAnsi="Aptos"/>
          <w:b w:val="0"/>
          <w:i w:val="0"/>
          <w:color w:val="1A1F2C"/>
          <w:sz w:val="21"/>
        </w:rPr>
        <w:t>Milestones 1-3 may each be revised once within seven calendar days of written instructor feedback with a concise change log. The revised score replaces the original when higher.</w:t>
      </w:r>
    </w:p>
    <w:p>
      <w:pPr>
        <w:spacing w:after="100"/>
      </w:pPr>
      <w:r>
        <w:rPr>
          <w:rFonts w:ascii="Aptos" w:hAnsi="Aptos"/>
          <w:b/>
          <w:i w:val="0"/>
          <w:color w:val="1A1F2C"/>
          <w:sz w:val="21"/>
        </w:rPr>
        <w:t xml:space="preserve">PowerPoint file lock: </w:t>
      </w:r>
      <w:r>
        <w:rPr>
          <w:rFonts w:ascii="Aptos" w:hAnsi="Aptos"/>
          <w:b w:val="0"/>
          <w:i w:val="0"/>
          <w:color w:val="1A1F2C"/>
          <w:sz w:val="21"/>
        </w:rPr>
        <w:t>The PowerPoint company-analysis project file is due Monday, Nov. 30, 2026 at 12:30 p.m. ET, when class begins. The submitted .pptx locks at that time for every student regardless of Oral Presentation date. Only instructor-authorized accessibility or file-repair corrections that do not alter the analysis or recommendation are permitted afterward.</w:t>
      </w:r>
    </w:p>
    <w:p>
      <w:pPr>
        <w:spacing w:after="100"/>
      </w:pPr>
      <w:r>
        <w:rPr>
          <w:rFonts w:ascii="Aptos" w:hAnsi="Aptos"/>
          <w:b/>
          <w:i w:val="0"/>
          <w:color w:val="1A1F2C"/>
          <w:sz w:val="21"/>
        </w:rPr>
        <w:t xml:space="preserve">Submission location: </w:t>
      </w:r>
      <w:r>
        <w:rPr>
          <w:rFonts w:ascii="Aptos" w:hAnsi="Aptos"/>
          <w:b w:val="0"/>
          <w:i w:val="0"/>
          <w:color w:val="1A1F2C"/>
          <w:sz w:val="21"/>
        </w:rPr>
        <w:t>Upload exactly one final Stage 5 file in the designated Canvas assignment: the editable PowerPoint company-analysis project (.pptx). The Oral Presentation is delivered live to the class on the assigned date and is not a second uploaded file. The Excel model is collected earlier at Milestone 3.</w:t>
      </w:r>
    </w:p>
    <w:p>
      <w:pPr>
        <w:spacing w:after="100"/>
      </w:pPr>
      <w:r>
        <w:rPr>
          <w:rFonts w:ascii="Aptos" w:hAnsi="Aptos"/>
          <w:b/>
          <w:i w:val="0"/>
          <w:color w:val="1A1F2C"/>
          <w:sz w:val="21"/>
        </w:rPr>
        <w:t xml:space="preserve">Absence: </w:t>
      </w:r>
      <w:r>
        <w:rPr>
          <w:rFonts w:ascii="Aptos" w:hAnsi="Aptos"/>
          <w:b w:val="0"/>
          <w:i w:val="0"/>
          <w:color w:val="1A1F2C"/>
          <w:sz w:val="21"/>
        </w:rPr>
        <w:t>Approved documented absences use the next protected slot or instructor-scheduled make-up. The live Oral Presentation, including responses to questions, remains required. Unexcused absences follow the BUS311 late-work policy and still require a make-up Oral Presentation.</w:t>
      </w:r>
    </w:p>
    <w:p>
      <w:pPr>
        <w:pStyle w:val="Heading2"/>
        <w:keepNext/>
      </w:pPr>
      <w:r>
        <w:t>Final readiness checklist</w:t>
      </w:r>
    </w:p>
    <w:p>
      <w:pPr>
        <w:ind w:left="317" w:hanging="317"/>
      </w:pPr>
      <w:r>
        <w:rPr>
          <w:rFonts w:ascii="Aptos" w:hAnsi="Aptos"/>
          <w:b w:val="0"/>
          <w:i w:val="0"/>
          <w:color w:val="1A1F2C"/>
          <w:sz w:val="21"/>
        </w:rPr>
        <w:t>☐ My one editable PowerPoint uses the required filename and is uploaded before the file lock.</w:t>
      </w:r>
    </w:p>
    <w:p>
      <w:pPr>
        <w:ind w:left="317" w:hanging="317"/>
      </w:pPr>
      <w:r>
        <w:rPr>
          <w:rFonts w:ascii="Aptos" w:hAnsi="Aptos"/>
          <w:b w:val="0"/>
          <w:i w:val="0"/>
          <w:color w:val="1A1F2C"/>
          <w:sz w:val="21"/>
        </w:rPr>
        <w:t>☐ My 8-10 core slides make the decision, revenue logic, model-linked valuation, alternatives, implementation, risks, limitations, sources, and AI disclosure easy to trace.</w:t>
      </w:r>
    </w:p>
    <w:p>
      <w:pPr>
        <w:ind w:left="317" w:hanging="317"/>
      </w:pPr>
      <w:r>
        <w:rPr>
          <w:rFonts w:ascii="Aptos" w:hAnsi="Aptos"/>
          <w:b w:val="0"/>
          <w:i w:val="0"/>
          <w:color w:val="1A1F2C"/>
          <w:sz w:val="21"/>
        </w:rPr>
        <w:t>☐ I have rehearsed the decision briefing to fit within seven minutes without reading the slides.</w:t>
      </w:r>
    </w:p>
    <w:p>
      <w:pPr>
        <w:ind w:left="317" w:hanging="317"/>
      </w:pPr>
      <w:r>
        <w:rPr>
          <w:rFonts w:ascii="Aptos" w:hAnsi="Aptos"/>
          <w:b w:val="0"/>
          <w:i w:val="0"/>
          <w:color w:val="1A1F2C"/>
          <w:sz w:val="21"/>
        </w:rPr>
        <w:t>☐ I can respond for up to three minutes to live questions about my sources, model, assumptions, scenarios, alternatives, implementation, and risks.</w:t>
      </w:r>
    </w:p>
    <w:p>
      <w:pPr>
        <w:ind w:left="317" w:hanging="317"/>
      </w:pPr>
      <w:r>
        <w:rPr>
          <w:rFonts w:ascii="Aptos" w:hAnsi="Aptos"/>
          <w:b w:val="0"/>
          <w:i w:val="0"/>
          <w:color w:val="1A1F2C"/>
          <w:sz w:val="21"/>
        </w:rPr>
        <w:t>☐ I understand the 25-point Oral Presentation criterion includes both delivery and responses to live questions.</w:t>
      </w:r>
    </w:p>
    <w:p>
      <w:pPr>
        <w:ind w:left="317" w:hanging="317"/>
      </w:pPr>
      <w:r>
        <w:rPr>
          <w:rFonts w:ascii="Aptos" w:hAnsi="Aptos"/>
          <w:b w:val="0"/>
          <w:i w:val="0"/>
          <w:color w:val="1A1F2C"/>
          <w:sz w:val="21"/>
        </w:rPr>
        <w:t>☐ I know my assigned Oral Presentation date and will use the same PowerPoint submitted by the file lock.</w:t>
      </w:r>
    </w:p>
    <w:sectPr w:rsidR="00FC693F" w:rsidRPr="0006063C" w:rsidSect="00034616">
      <w:headerReference w:type="default" r:id="rId9"/>
      <w:footerReference w:type="default" r:id="rId10"/>
      <w:pgSz w:w="12240" w:h="15840"/>
      <w:pgMar w:top="1123"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472"/>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B6472"/>
        <w:sz w:val="17"/>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52536"/>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5577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525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ind w:left="547"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ind w:left="547"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Assignment</dc:title>
  <dc:subject>BUS311 Individual Company Capstone</dc:subject>
  <dc:creator>Professor Bethany Evitts</dc:creator>
  <cp:keywords/>
  <dc:description>Derived from CAPSTONE/source/bus311-capstone.json v1.5.0; SHA-256 f4837831f74562762cfc0ab95e656a1890bbfa684ec2c88f00f4707c512e6ff7</dc:description>
  <cp:lastModifiedBy/>
  <cp:revision>1</cp:revision>
  <dcterms:created xsi:type="dcterms:W3CDTF">2013-12-23T23:15:00Z</dcterms:created>
  <dcterms:modified xsi:type="dcterms:W3CDTF">2013-12-23T23:15:00Z</dcterms:modified>
  <cp:category/>
  <cp:version>1.5.0</cp:version>
</cp:coreProperties>
</file>