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9C4A2B"/>
          <w:sz w:val="19"/>
        </w:rPr>
        <w:t>BUS311 CAPSTONE STAGE 2</w:t>
      </w:r>
    </w:p>
    <w:p>
      <w:pPr>
        <w:keepNext/>
        <w:spacing w:after="100"/>
      </w:pPr>
      <w:r>
        <w:rPr>
          <w:rFonts w:ascii="Aptos Display" w:hAnsi="Aptos Display"/>
          <w:b/>
          <w:i w:val="0"/>
          <w:color w:val="152536"/>
          <w:sz w:val="48"/>
        </w:rPr>
        <w:t>Revenue Engine and Initial Hypothesis Student Guide</w:t>
      </w:r>
    </w:p>
    <w:p>
      <w:pPr>
        <w:spacing w:after="200"/>
      </w:pPr>
      <w:r>
        <w:rPr>
          <w:rFonts w:ascii="Aptos" w:hAnsi="Aptos"/>
          <w:b w:val="0"/>
          <w:i w:val="0"/>
          <w:color w:val="5B6472"/>
          <w:sz w:val="18"/>
        </w:rPr>
        <w:t>8 points  |  Due September 30 at 12:30 p.m. ET  |  Approved student release  |  Source v1.5.0</w:t>
      </w:r>
    </w:p>
    <w:p>
      <w:pPr>
        <w:pBdr>
          <w:bottom w:val="single" w:sz="14" w:space="1" w:color="C18A42"/>
        </w:pBd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C4A2B"/>
                <w:sz w:val="19"/>
              </w:rPr>
              <w:t xml:space="preserve">WHY STAGE 2 MATTERS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Before building a valuation, show how the company earns revenue, what changed over three to five comparable fiscal years, which operating drivers matter, and what evidence could support or disprove one revenue hypothesis.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What you submit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55773"/>
                <w:sz w:val="19"/>
              </w:rPr>
              <w:t xml:space="preserve">ONE REQUIRED FILE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Upload one required file in the designated Canvas assignment: the completed BUS311 Capstone Revenue Analysis Workbook (.xlsx), including the Hypothesis &amp; Scenarios sheet. Do not create or upload a separate PDF or DOCX unless Canvas or the instructor explicitly requests an additional readable export.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The workbook is the primary Stage 2 artifact. Do not submit raw FactSet exports or screenshots as public files. Keep licensed evidence inside approved course-restricted systems and label it inside the analysis.</w:t>
      </w:r>
    </w:p>
    <w:p>
      <w:pPr>
        <w:pStyle w:val="Heading1"/>
        <w:keepNext/>
      </w:pPr>
      <w:r>
        <w:t>Stage 2 start here</w:t>
      </w:r>
    </w:p>
    <w:p>
      <w:pPr>
        <w:pStyle w:val="ListNumber"/>
      </w:pPr>
      <w:r>
        <w:rPr>
          <w:rFonts w:ascii="Aptos" w:hAnsi="Aptos"/>
          <w:b w:val="0"/>
          <w:i w:val="0"/>
          <w:color w:val="1A1F2C"/>
          <w:sz w:val="21"/>
        </w:rPr>
        <w:t>Read the Revenue Engine Student Guide: Use the scope limits and eight-step workflow before collecting data. File: Revenue-engine student guide.</w:t>
      </w:r>
    </w:p>
    <w:p>
      <w:pPr>
        <w:pStyle w:val="ListNumber"/>
      </w:pPr>
      <w:r>
        <w:rPr>
          <w:rFonts w:ascii="Aptos" w:hAnsi="Aptos"/>
          <w:b w:val="0"/>
          <w:i w:val="0"/>
          <w:color w:val="1A1F2C"/>
          <w:sz w:val="21"/>
        </w:rPr>
        <w:t>Complete the Revenue Analysis Workbook: Work through the nine visible sheets in order and maintain the Evidence Register as you go. File: Revenue analysis workbook.</w:t>
      </w:r>
    </w:p>
    <w:p>
      <w:pPr>
        <w:pStyle w:val="ListNumber"/>
      </w:pPr>
      <w:r>
        <w:rPr>
          <w:rFonts w:ascii="Aptos" w:hAnsi="Aptos"/>
          <w:b w:val="0"/>
          <w:i w:val="0"/>
          <w:color w:val="1A1F2C"/>
          <w:sz w:val="21"/>
        </w:rPr>
        <w:t>Test the hypothesis twice: Use the checklist before the skeptical-CFO challenge and again after revising the hypothesis. File: Revenue-hypothesis quality checklist.</w:t>
      </w:r>
    </w:p>
    <w:p>
      <w:pPr>
        <w:pStyle w:val="ListNumber"/>
      </w:pPr>
      <w:r>
        <w:rPr>
          <w:rFonts w:ascii="Aptos" w:hAnsi="Aptos"/>
          <w:b w:val="0"/>
          <w:i w:val="0"/>
          <w:color w:val="1A1F2C"/>
          <w:sz w:val="21"/>
        </w:rPr>
        <w:t>Check the eight-point rubric: Compare the completed workbook with every criterion before submission. File: Revenue milestone rubric.</w:t>
      </w:r>
    </w:p>
    <w:p>
      <w:pPr>
        <w:pStyle w:val="ListNumber"/>
      </w:pPr>
      <w:r>
        <w:rPr>
          <w:rFonts w:ascii="Aptos" w:hAnsi="Aptos"/>
          <w:b w:val="0"/>
          <w:i w:val="0"/>
          <w:color w:val="1A1F2C"/>
          <w:sz w:val="21"/>
        </w:rPr>
        <w:t>Resolve checks and submit: Review Checks &amp; Submission, explain honest limitations, and upload the completed .xlsx in Canvas. File: Revenue analysis workbook.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55773"/>
                <w:sz w:val="19"/>
              </w:rPr>
              <w:t xml:space="preserve">NEED FACTSET ACCESS OR THE EXCEL ADD-IN?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Use the course FactSet activation and Excel setup page before beginning the workbook. Keep raw FactSet exports and screenshots inside approved course-restricted systems. https://endicott.instructure.com/courses/58525/pages/activate-factset-and-add-it-to-excel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Scope that is manageable for one student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Use three to five completed fiscal years; use five when comparable history is available.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Analyze total revenue plus no more than five material reported segments or business lines.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Use three defensible peers when available. If fewer than three are defensible, explain why.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Analyze three to six material revenue drivers supported by company disclosure or credible evidence.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Use four to six leading indicators and three to five principal revenue risks.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Write one specific revenue hypothesis and three directional forecast cases. Do not build the full valuation in this milestone.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Maintain one Evidence Register and add evidence as you work rather than creating a second source list.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Plan for approximately six to eight focused hours across two weeks, including scheduled class workdays.</w:t>
      </w:r>
    </w:p>
    <w:p>
      <w:r>
        <w:br w:type="page"/>
      </w:r>
    </w:p>
    <w:p>
      <w:pPr>
        <w:pStyle w:val="Heading1"/>
        <w:keepNext/>
      </w:pPr>
      <w:r>
        <w:t>Required workflow</w:t>
      </w:r>
    </w:p>
    <w:p>
      <w:pPr>
        <w:pStyle w:val="Heading2"/>
        <w:keepNext/>
      </w:pPr>
      <w:r>
        <w:t>1. Map the revenue engine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Complete all eight dimensions in Revenue Map. Name material categories rather than every minor product, and identify the revenue mechanism, management lever, evidence ID, and limitation for each.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Products and services; reported segments or business lines; geographies or end markets; and customer types.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Sales and distribution channels; pricing or monetization model; and recurring versus transactional revenue.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Where value is created and which levers management can influence.</w:t>
      </w:r>
    </w:p>
    <w:p>
      <w:pPr>
        <w:pStyle w:val="Heading2"/>
        <w:keepNext/>
      </w:pPr>
      <w:r>
        <w:t>2. Build three to five years of revenue history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Use consistent fiscal periods, currency, units, and definitions. Enter reported total revenue, material segment or business-line revenue, segment definitions, evidence IDs, and every reporting change that affects comparability.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The workbook calculates growth, segment sums, and reconciliation differences.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 difference is not automatically an error: corporate or elimination items and definition changes may explain it. Label the cause rather than hiding it.</w:t>
      </w:r>
    </w:p>
    <w:p>
      <w:pPr>
        <w:pStyle w:val="Heading2"/>
        <w:keepNext/>
      </w:pPr>
      <w:r>
        <w:t>3. Decompose company-relevant drivers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Explain what changed using only drivers the company discloses or credible evidence supports. Quantify a contribution when supportable; otherwise classify it as directional and state the limitation.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Consider price, volume, mix, currency, geography, acquisitions, divestitures, accounting changes, customers, contracts, locations, units, transactions, capacity, utilization, retention, churn, subscriptions, backlog, bookings, orders, or pipeline as company-relevant.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Distinguish durable operating drivers from temporary, acquisition-related, accounting, and macro effects.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Never invent a bridge amount to force reconciliation. State how each material driver could affect a later forecast assumption.</w:t>
      </w:r>
    </w:p>
    <w:p>
      <w:pPr>
        <w:pStyle w:val="Heading2"/>
        <w:keepNext/>
      </w:pPr>
      <w:r>
        <w:t>4. Add industry, competitor, and peer context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Use Peers &amp; Demand to distinguish company-specific drivers from industry-wide effects. This is not a stock-multiple exercise.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Describe relevant demand conditions and sources; identify direct competitors and the competitive variable that matters.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Define why each peer is comparable and compare growth using consistent periods and definitions when possible.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Address market share only when a credible source defines both the market and the company's measure. Otherwise state the limitation.</w:t>
      </w:r>
    </w:p>
    <w:p>
      <w:pPr>
        <w:pStyle w:val="Heading2"/>
        <w:keepNext/>
      </w:pPr>
      <w:r>
        <w:t>5. Identify leading indicators and principal revenue risks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Record measures the CFO and Board should monitor, including demand or operating indicators, concentrations, seasonality, capacity or supply constraints, principal risks, and early-warning triggers.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Give every indicator or risk an evidence ID and connect it to a forecast assumption, scenario trigger, or CFO decision.</w:t>
      </w:r>
    </w:p>
    <w:p>
      <w:pPr>
        <w:pStyle w:val="Heading2"/>
        <w:keepNext/>
      </w:pPr>
      <w:r>
        <w:t>6. Write one testable revenue hypothesis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A strong hypothesis names the operating driver, expected revenue or margin effect, period, supporting evidence, falsification evidence, and at least one plausible alternative explanation.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Template: Over [period], [company-specific driver or mechanism] will [directional revenue or margin effect] because [causal logic]. I would weaken or reject this claim if [observable falsification evidence] occurs.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The hypothesis may later be modified or rejected. Its purpose is to make the operating logic testable, not to guarantee a preferred recommendation.</w:t>
      </w:r>
    </w:p>
    <w:p>
      <w:pPr>
        <w:pStyle w:val="Heading2"/>
        <w:keepNext/>
      </w:pPr>
      <w:r>
        <w:t>7. Connect the hypothesis to forecasts, valuation, and the CFO decision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Create a directional bridge rather than a finished valuation. Explain which forecast assumptions and valuation channels will change in Stage 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50"/>
        <w:gridCol w:w="2100"/>
        <w:gridCol w:w="2250"/>
        <w:gridCol w:w="2260"/>
      </w:tblGrid>
      <w:tr>
        <w:trPr>
          <w:tblHeader w:val="true"/>
          <w:cantSplit/>
        </w:trPr>
        <w:tc>
          <w:tcPr>
            <w:tcW w:type="dxa" w:w="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6"/>
              </w:rPr>
              <w:t>Case</w:t>
            </w:r>
          </w:p>
        </w:tc>
        <w:tc>
          <w:tcPr>
            <w:tcW w:type="dxa" w:w="185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6"/>
              </w:rPr>
              <w:t>Revenue assumption</w:t>
            </w:r>
          </w:p>
        </w:tc>
        <w:tc>
          <w:tcPr>
            <w:tcW w:type="dxa" w:w="21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6"/>
              </w:rPr>
              <w:t>What must be true</w:t>
            </w:r>
          </w:p>
        </w:tc>
        <w:tc>
          <w:tcPr>
            <w:tcW w:type="dxa" w:w="225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6"/>
              </w:rPr>
              <w:t>Later valuation effect</w:t>
            </w:r>
          </w:p>
        </w:tc>
        <w:tc>
          <w:tcPr>
            <w:tcW w:type="dxa" w:w="22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6"/>
              </w:rPr>
              <w:t>CFO implication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Base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Most supportable driver path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Evidence is consistent with the central hypothesis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Main operating and cash-flow path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Action supported under expected conditions</w:t>
            </w:r>
          </w:p>
        </w:tc>
      </w:tr>
      <w:tr>
        <w:trPr>
          <w:cantSplit/>
        </w:trPr>
        <w:tc>
          <w:tcPr>
            <w:tcW w:type="dxa" w:w="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Upside</w:t>
            </w:r>
          </w:p>
        </w:tc>
        <w:tc>
          <w:tcPr>
            <w:tcW w:type="dxa" w:w="185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Stronger favorable driver outcome</w:t>
            </w:r>
          </w:p>
        </w:tc>
        <w:tc>
          <w:tcPr>
            <w:tcW w:type="dxa" w:w="2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Named indicators exceed the base path</w:t>
            </w:r>
          </w:p>
        </w:tc>
        <w:tc>
          <w:tcPr>
            <w:tcW w:type="dxa" w:w="225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Higher or earlier revenue, margin, or cash flow</w:t>
            </w:r>
          </w:p>
        </w:tc>
        <w:tc>
          <w:tcPr>
            <w:tcW w:type="dxa" w:w="2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Acceleration or added capacity may be justified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Downside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Weaker or adverse driver outcome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Falsification evidence or a risk trigger appears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Lower or delayed revenue, margin, or cash flow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6"/>
              </w:rPr>
              <w:t>Stage, pause, mitigate, or reject the action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 Complete the skeptical-CFO challenge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Use either a free text-based AI tool with only a sanitized student-written summary or the instructor-provided non-AI questions. Both paths must produce the same challenge record.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Record the original hypothesis, strongest challenge or alternative, evidence independently checked, finding and limitation, accept/modify/reject judgment, revised hypothesis, and tool-use or non-AI statement.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AI output is never a source. Do not upload a workbook, raw FactSet export or screenshot, personal information, instructor-only material, or nonpublic company information.</w:t>
      </w:r>
    </w:p>
    <w:p>
      <w:r>
        <w:br w:type="page"/>
      </w:r>
    </w:p>
    <w:p>
      <w:pPr>
        <w:pStyle w:val="Heading1"/>
        <w:keepNext/>
      </w:pPr>
      <w:r>
        <w:t>Evidence and FactSet standard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Every material number, definition, comparison, chart, and assumption must be traceable through the Evidence Register.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For FactSet: identify FactSet; the report, screen, chart, or metric; retrieval or data-through date; fiscal period; units and currency; definition or adjustment; peer group and rationale when applicable; use; and limitation.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For SEC evidence: identify the form, filing date, fiscal period, exact item, page, table, or note, definition, and use. A generic investor-relations homepage is not sufficient.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Use one evidence ID in the register and reference that ID in working sheets.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Reconcile conflicting figures or explain why definitions differ. Distinguish reported facts, calculations, assumptions, and interpretations.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State a limitation when evidence is unavailable. Do not use AI-generated figures or chart images as financial evidence.</w:t>
      </w:r>
    </w:p>
    <w:p>
      <w:pPr>
        <w:pStyle w:val="Heading1"/>
        <w:keepNext/>
      </w:pPr>
      <w:r>
        <w:t>LO2-LO3 alignment</w:t>
      </w:r>
    </w:p>
    <w:p>
      <w:pPr>
        <w:spacing w:after="100"/>
      </w:pPr>
      <w:r>
        <w:rPr>
          <w:rFonts w:ascii="Aptos" w:hAnsi="Aptos"/>
          <w:b/>
          <w:i w:val="0"/>
          <w:color w:val="1A1F2C"/>
          <w:sz w:val="21"/>
        </w:rPr>
        <w:t xml:space="preserve">LO2: </w:t>
      </w:r>
      <w:r>
        <w:rPr>
          <w:rFonts w:ascii="Aptos" w:hAnsi="Aptos"/>
          <w:b w:val="0"/>
          <w:i w:val="0"/>
          <w:color w:val="1A1F2C"/>
          <w:sz w:val="21"/>
        </w:rPr>
        <w:t>Begin with income-statement revenue, then use the balance sheet, cash-flow statement, and filing notes when they clarify receivables, contract liabilities, inventory, capital intensity, acquisitions, cash conversion, segment definitions, or recognition timing.</w:t>
      </w:r>
    </w:p>
    <w:p>
      <w:pPr>
        <w:spacing w:after="100"/>
      </w:pPr>
      <w:r>
        <w:rPr>
          <w:rFonts w:ascii="Aptos" w:hAnsi="Aptos"/>
          <w:b/>
          <w:i w:val="0"/>
          <w:color w:val="1A1F2C"/>
          <w:sz w:val="21"/>
        </w:rPr>
        <w:t xml:space="preserve">LO3: </w:t>
      </w:r>
      <w:r>
        <w:rPr>
          <w:rFonts w:ascii="Aptos" w:hAnsi="Aptos"/>
          <w:b w:val="0"/>
          <w:i w:val="0"/>
          <w:color w:val="1A1F2C"/>
          <w:sz w:val="21"/>
        </w:rPr>
        <w:t>Calculate and interpret company trends and relevant peer comparisons that illuminate revenue generation. Use ratios to distinguish drivers and alternatives, not as a mechanical list.</w:t>
      </w:r>
    </w:p>
    <w:p>
      <w:pPr>
        <w:pStyle w:val="Heading1"/>
        <w:keepNext/>
      </w:pPr>
      <w:r>
        <w:t>Eight-point milestone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  <w:cantSplit/>
        </w:trPr>
        <w:tc>
          <w:tcPr>
            <w:tcW w:type="dxa" w:w="26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7"/>
              </w:rPr>
              <w:t>Criterion</w:t>
            </w:r>
          </w:p>
        </w:tc>
        <w:tc>
          <w:tcPr>
            <w:tcW w:type="dxa" w:w="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7"/>
              </w:rPr>
              <w:t>Points</w:t>
            </w:r>
          </w:p>
        </w:tc>
        <w:tc>
          <w:tcPr>
            <w:tcW w:type="dxa" w:w="58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7"/>
              </w:rPr>
              <w:t>Full-credit evidence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Revenue-engine map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1.00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All eight required dimensions are company-specific, material, sourced, and connected to revenue mechanisms and management levers.</w:t>
            </w:r>
          </w:p>
        </w:tc>
      </w:tr>
      <w:tr>
        <w:trPr>
          <w:cantSplit/>
        </w:trPr>
        <w:tc>
          <w:tcPr>
            <w:tcW w:type="dxa" w:w="26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Revenue history and comparability</w:t>
            </w:r>
          </w:p>
        </w:tc>
        <w:tc>
          <w:tcPr>
            <w:tcW w:type="dxa" w:w="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1.25</w:t>
            </w:r>
          </w:p>
        </w:tc>
        <w:tc>
          <w:tcPr>
            <w:tcW w:type="dxa" w:w="58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Three to five fiscal years of total and material segment or business-line revenue use clear currency, units, definitions, periods, sources, growth, and reconciliation; reporting changes are explained.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Driver decomposition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1.25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Three to six company-relevant drivers explain what changed; quantified and directional evidence are distinguished; and durable, temporary, acquisition, accounting, and macro effects are separated where relevant.</w:t>
            </w:r>
          </w:p>
        </w:tc>
      </w:tr>
      <w:tr>
        <w:trPr>
          <w:cantSplit/>
        </w:trPr>
        <w:tc>
          <w:tcPr>
            <w:tcW w:type="dxa" w:w="26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Industry, competitors, peers, and market share</w:t>
            </w:r>
          </w:p>
        </w:tc>
        <w:tc>
          <w:tcPr>
            <w:tcW w:type="dxa" w:w="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1.00</w:t>
            </w:r>
          </w:p>
        </w:tc>
        <w:tc>
          <w:tcPr>
            <w:tcW w:type="dxa" w:w="58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Demand conditions, competitors, a defensible peer group, comparable peer growth, and supportable market-share context distinguish company-specific from industry effects; limitations are explicit.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Leading indicators and revenue risks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1.00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Four to six indicators and three to five principal risks address concentrations, seasonality, capacity constraints, and triggers; each connects to evidence and a forecast or decision use.</w:t>
            </w:r>
          </w:p>
        </w:tc>
      </w:tr>
      <w:tr>
        <w:trPr>
          <w:cantSplit/>
        </w:trPr>
        <w:tc>
          <w:tcPr>
            <w:tcW w:type="dxa" w:w="26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Testable revenue hypothesis</w:t>
            </w:r>
          </w:p>
        </w:tc>
        <w:tc>
          <w:tcPr>
            <w:tcW w:type="dxa" w:w="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1.25</w:t>
            </w:r>
          </w:p>
        </w:tc>
        <w:tc>
          <w:tcPr>
            <w:tcW w:type="dxa" w:w="58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One specific claim names a mechanism, directional effect, period, supporting evidence, falsification evidence, and an alternative explanation, without unsupported precision.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Forecast, valuation, CFO, evidence, and challenge linkage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1.25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Base, upside, and downside driver paths flow to later forecast and valuation channels and the CFO decision; the evidence register is traceable; and the skeptical-CFO challenge is independently checked and judged by the student.</w:t>
            </w:r>
          </w:p>
        </w:tc>
      </w:tr>
      <w:tr>
        <w:trPr>
          <w:cantSplit/>
        </w:trPr>
        <w:tc>
          <w:tcPr>
            <w:tcW w:type="dxa" w:w="26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Total</w:t>
            </w:r>
          </w:p>
        </w:tc>
        <w:tc>
          <w:tcPr>
            <w:tcW w:type="dxa" w:w="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8.00</w:t>
            </w:r>
          </w:p>
        </w:tc>
        <w:tc>
          <w:tcPr>
            <w:tcW w:type="dxa" w:w="58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Part of the capstone's 25 milestone, model, and revision points.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The detailed performance-level rubric is provided separately. Missing, invented, or unusable evidence may receive zero within the affected criterion.</w:t>
      </w:r>
    </w:p>
    <w:p>
      <w:pPr>
        <w:pStyle w:val="Heading1"/>
        <w:keepNext/>
      </w:pPr>
      <w:r>
        <w:t>Before you submit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The approved company and CFO decision remain unchanged, or an approved revision is documented.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All eight revenue-engine dimensions are complete and three to five comparable fiscal years are entered.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Material segment or business-line revenue is entered, or the disclosure limitation is explained.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Segment sums reconcile to reported revenue, or the difference is explained.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Three to six material drivers distinguish quantified and directional evidence and durable and temporary effects.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Industry demand, competitors, peer growth, market-share treatment, indicators, risks, concentrations, seasonality, and constraints are addressed.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The hypothesis passes the quality checklist and drives base, upside, and downside assumptions without claiming a finished valuation.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The CFO implication and pause, change, or reject trigger are stated.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The Evidence Register includes sources, dates, periods, units, definitions, locations, uses, peer rationale, and limitations.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The skeptical-CFO record shows independent verification and student accept, modify, or reject judgment.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Checks &amp; Submission shows PASS or an honest, instructor-reviewable limitation.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55773"/>
                <w:sz w:val="19"/>
              </w:rPr>
              <w:t xml:space="preserve">WHAT PASS MEANS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PASS on the workbook's Checks &amp; Submission sheet confirms that the required fields and structural checks are complete. It does not guarantee full credit or prove that the analysis, evidence, or judgment is correct.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4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B6472"/>
        <w:sz w:val="17"/>
      </w:rPr>
      <w:t>BUS311 Corporate Finance  |  Individual Company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7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BUS311 Stage 2 Revenue Engine Student Guide</dc:title>
  <dc:subject>BUS311 Individual Company Capstone</dc:subject>
  <dc:creator>Professor Bethany Evitts</dc:creator>
  <cp:keywords/>
  <dc:description>Derived from CAPSTONE/source/bus311-capstone.json v1.5.0; SHA-256 f4837831f74562762cfc0ab95e656a1890bbfa684ec2c88f00f4707c512e6ff7</dc:description>
  <cp:lastModifiedBy/>
  <cp:revision>1</cp:revision>
  <dcterms:created xsi:type="dcterms:W3CDTF">2013-12-23T23:15:00Z</dcterms:created>
  <dcterms:modified xsi:type="dcterms:W3CDTF">2013-12-23T23:15:00Z</dcterms:modified>
  <cp:category/>
  <cp:version>1.5.0</cp:version>
</cp:coreProperties>
</file>