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i w:val="0"/>
          <w:color w:val="9C4A2B"/>
          <w:sz w:val="19"/>
        </w:rPr>
        <w:t>BUS311 CAPSTONE STAGE 2</w:t>
      </w:r>
    </w:p>
    <w:p>
      <w:pPr>
        <w:keepNext/>
        <w:spacing w:after="100"/>
      </w:pPr>
      <w:r>
        <w:rPr>
          <w:rFonts w:ascii="Aptos Display" w:hAnsi="Aptos Display"/>
          <w:b/>
          <w:i w:val="0"/>
          <w:color w:val="152536"/>
          <w:sz w:val="48"/>
        </w:rPr>
        <w:t>Revenue Engine and Initial Hypothesis Rubric</w:t>
      </w:r>
    </w:p>
    <w:p>
      <w:pPr>
        <w:spacing w:after="200"/>
      </w:pPr>
      <w:r>
        <w:rPr>
          <w:rFonts w:ascii="Aptos" w:hAnsi="Aptos"/>
          <w:b w:val="0"/>
          <w:i w:val="0"/>
          <w:color w:val="5B6472"/>
          <w:sz w:val="18"/>
        </w:rPr>
        <w:t>8 points  |  Due September 30 at 12:30 p.m. ET  |  Approved student scoring standard  |  Source v1.5.0</w:t>
      </w:r>
    </w:p>
    <w:p>
      <w:pPr>
        <w:pBdr>
          <w:bottom w:val="single" w:sz="14" w:space="1" w:color="C18A42"/>
        </w:pBdr>
        <w:spacing w:after="1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9C4A2B"/>
                <w:sz w:val="19"/>
              </w:rPr>
              <w:t xml:space="preserve">SCORING PURPOSE  </w:t>
            </w:r>
            <w:r>
              <w:rPr>
                <w:rFonts w:ascii="Aptos" w:hAnsi="Aptos"/>
                <w:b w:val="0"/>
                <w:i w:val="0"/>
                <w:color w:val="152536"/>
                <w:sz w:val="21"/>
              </w:rPr>
              <w:t>This rubric scores the individual Stage 2 Revenue Analysis Workbook. It is part of the capstone's 25 milestone, model, and revision points.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Each criterion below shows concrete evidence for full credit, developing or partial evidence, and missing or unusable evidence. A stated and well-managed data limitation can earn credit; concealing or inventing evidence cannot.</w:t>
      </w:r>
    </w:p>
    <w:p>
      <w:pPr>
        <w:pStyle w:val="Heading1"/>
        <w:keepNext/>
      </w:pPr>
      <w:r>
        <w:t>1. Revenue-engine map - 1.00 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Performance level</w:t>
            </w:r>
          </w:p>
        </w:tc>
        <w:tc>
          <w:tcPr>
            <w:tcW w:type="dxa" w:w="74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Evidence description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Full credit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All eight required dimensions are company-specific, material, sourced, and connected to revenue mechanisms and management levers.</w:t>
            </w:r>
          </w:p>
        </w:tc>
      </w:tr>
      <w:tr>
        <w:trPr>
          <w:cantSplit/>
        </w:trPr>
        <w:tc>
          <w:tcPr>
            <w:tcW w:type="dxa" w:w="19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Developing / partial</w:t>
            </w:r>
          </w:p>
        </w:tc>
        <w:tc>
          <w:tcPr>
            <w:tcW w:type="dxa" w:w="74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One or two dimensions are generic, incomplete, weakly sourced, or not connected to how sales are generated.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Missing / unusable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Major dimensions are missing; the map is primarily a company description or unsupported assertion.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Revenue history and comparability - 1.25 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Performance level</w:t>
            </w:r>
          </w:p>
        </w:tc>
        <w:tc>
          <w:tcPr>
            <w:tcW w:type="dxa" w:w="74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Evidence description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Full credit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Three to five fiscal years of total and material segment or business-line revenue use clear currency, units, definitions, periods, sources, growth, and reconciliation; reporting changes are explained.</w:t>
            </w:r>
          </w:p>
        </w:tc>
      </w:tr>
      <w:tr>
        <w:trPr>
          <w:cantSplit/>
        </w:trPr>
        <w:tc>
          <w:tcPr>
            <w:tcW w:type="dxa" w:w="19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Developing / partial</w:t>
            </w:r>
          </w:p>
        </w:tc>
        <w:tc>
          <w:tcPr>
            <w:tcW w:type="dxa" w:w="74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History is present, but a period, segment, definition, growth calculation, reconciliation, or comparability explanation is incomplete.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Missing / unusable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Fewer than three usable years are provided; total or segment evidence is absent or unsupported; or figures cannot be traced.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Driver decomposition - 1.25 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Performance level</w:t>
            </w:r>
          </w:p>
        </w:tc>
        <w:tc>
          <w:tcPr>
            <w:tcW w:type="dxa" w:w="74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Evidence description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Full credit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Three to six company-relevant drivers explain what changed; quantified and directional evidence are distinguished; and durable, temporary, acquisition, accounting, and macro effects are separated where relevant.</w:t>
            </w:r>
          </w:p>
        </w:tc>
      </w:tr>
      <w:tr>
        <w:trPr>
          <w:cantSplit/>
        </w:trPr>
        <w:tc>
          <w:tcPr>
            <w:tcW w:type="dxa" w:w="19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Developing / partial</w:t>
            </w:r>
          </w:p>
        </w:tc>
        <w:tc>
          <w:tcPr>
            <w:tcW w:type="dxa" w:w="74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Drivers are plausible but generic, incompletely evidenced, over-reliant on narrative, or weakly connected to forecast implications.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Missing / unusable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There is no meaningful decomposition; invented bridge amounts or an unexplained total-growth assumption substitute for operating drivers.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Industry, competitors, peers, and market share - 1.00 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Performance level</w:t>
            </w:r>
          </w:p>
        </w:tc>
        <w:tc>
          <w:tcPr>
            <w:tcW w:type="dxa" w:w="74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Evidence description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Full credit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Demand conditions, competitors, a defensible peer group, comparable peer growth, and supportable market-share context distinguish company-specific from industry effects; limitations are explicit.</w:t>
            </w:r>
          </w:p>
        </w:tc>
      </w:tr>
      <w:tr>
        <w:trPr>
          <w:cantSplit/>
        </w:trPr>
        <w:tc>
          <w:tcPr>
            <w:tcW w:type="dxa" w:w="19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Developing / partial</w:t>
            </w:r>
          </w:p>
        </w:tc>
        <w:tc>
          <w:tcPr>
            <w:tcW w:type="dxa" w:w="74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Context is present, but peers, periods, definitions, comparability, or market-share limitations are weak.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Missing / unusable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Context is missing, the peer group is unexplained, or unsupported market-share claims are used.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Leading indicators and revenue risks - 1.00 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Performance level</w:t>
            </w:r>
          </w:p>
        </w:tc>
        <w:tc>
          <w:tcPr>
            <w:tcW w:type="dxa" w:w="74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Evidence description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Full credit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Four to six indicators and three to five principal risks address concentrations, seasonality, capacity constraints, and triggers; each connects to evidence and a forecast or decision use.</w:t>
            </w:r>
          </w:p>
        </w:tc>
      </w:tr>
      <w:tr>
        <w:trPr>
          <w:cantSplit/>
        </w:trPr>
        <w:tc>
          <w:tcPr>
            <w:tcW w:type="dxa" w:w="19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Developing / partial</w:t>
            </w:r>
          </w:p>
        </w:tc>
        <w:tc>
          <w:tcPr>
            <w:tcW w:type="dxa" w:w="74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Some indicators or risks are generic, missing a source or trigger, or disconnected from the forecast and CFO decision.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Missing / unusable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Indicators or risks are absent, copied from generic risk language, or not usable for monitoring.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Testable revenue hypothesis - 1.25 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Performance level</w:t>
            </w:r>
          </w:p>
        </w:tc>
        <w:tc>
          <w:tcPr>
            <w:tcW w:type="dxa" w:w="74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Evidence description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Full credit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One specific claim names a mechanism, directional effect, period, supporting evidence, falsification evidence, and an alternative explanation, without unsupported precision.</w:t>
            </w:r>
          </w:p>
        </w:tc>
      </w:tr>
      <w:tr>
        <w:trPr>
          <w:cantSplit/>
        </w:trPr>
        <w:tc>
          <w:tcPr>
            <w:tcW w:type="dxa" w:w="19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Developing / partial</w:t>
            </w:r>
          </w:p>
        </w:tc>
        <w:tc>
          <w:tcPr>
            <w:tcW w:type="dxa" w:w="74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The claim is relevant but broad, weakly causal, incompletely testable, or missing a period, falsifier, or alternative explanation.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Missing / unusable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The claim only predicts growth or decline, cannot be disproved, relies on valuation as the revenue cause, or uses invented facts.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Forecast, valuation, CFO, evidence, and challenge linkage - 1.25 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Performance level</w:t>
            </w:r>
          </w:p>
        </w:tc>
        <w:tc>
          <w:tcPr>
            <w:tcW w:type="dxa" w:w="74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Evidence description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Full credit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Base, upside, and downside driver paths flow to later forecast and valuation channels and the CFO decision; the evidence register is traceable; and the skeptical-CFO challenge is independently checked and judged by the student.</w:t>
            </w:r>
          </w:p>
        </w:tc>
      </w:tr>
      <w:tr>
        <w:trPr>
          <w:cantSplit/>
        </w:trPr>
        <w:tc>
          <w:tcPr>
            <w:tcW w:type="dxa" w:w="19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Developing / partial</w:t>
            </w:r>
          </w:p>
        </w:tc>
        <w:tc>
          <w:tcPr>
            <w:tcW w:type="dxa" w:w="74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Linkage or a challenge record is present, but assumptions, decision triggers, source labels, verification, or student judgment are incomplete.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Missing / unusable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Scenarios are disconnected from the hypothesis; the evidence register is unusable; AI output is treated as a source; or the challenge and judgment are missing.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Scoring rules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Award points for demonstrated evidence, not document length or confident wording.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Score the work submitted. Approval or required revision is a separate instructional decision.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Within each criterion, use proportional partial credit when evidence falls between the anchors.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A fabricated figure, invented citation, or unsupported bridge amount earns no credit for the affected evidence and may require academic-integrity follow-up under course policy.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FactSet evidence must identify source, report or screen or metric, date, period, units, definition, peer group, use, and limitation as applicable.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AI output is not evidence. The student must independently verify retained challenges and make the final judgment.</w:t>
      </w:r>
    </w:p>
    <w:p>
      <w:pPr>
        <w:pStyle w:val="Heading1"/>
        <w:keepNext/>
      </w:pPr>
      <w:r>
        <w:t>Score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00"/>
        <w:gridCol w:w="1500"/>
        <w:gridCol w:w="2760"/>
      </w:tblGrid>
      <w:tr>
        <w:trPr>
          <w:tblHeader w:val="true"/>
          <w:cantSplit/>
        </w:trPr>
        <w:tc>
          <w:tcPr>
            <w:tcW w:type="dxa" w:w="51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7"/>
              </w:rPr>
              <w:t>Criterion</w:t>
            </w:r>
          </w:p>
        </w:tc>
        <w:tc>
          <w:tcPr>
            <w:tcW w:type="dxa" w:w="15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7"/>
              </w:rPr>
              <w:t>Score</w:t>
            </w:r>
          </w:p>
        </w:tc>
        <w:tc>
          <w:tcPr>
            <w:tcW w:type="dxa" w:w="27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7"/>
              </w:rPr>
              <w:t>Instructor note</w:t>
            </w:r>
          </w:p>
        </w:tc>
      </w:tr>
      <w:tr>
        <w:trPr>
          <w:cantSplit/>
        </w:trP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Revenue-engine map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[ ] / 1.00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[Type here.]</w:t>
            </w:r>
          </w:p>
        </w:tc>
      </w:tr>
      <w:tr>
        <w:trPr>
          <w:cantSplit/>
        </w:trPr>
        <w:tc>
          <w:tcPr>
            <w:tcW w:type="dxa" w:w="51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Revenue history and comparability</w:t>
            </w:r>
          </w:p>
        </w:tc>
        <w:tc>
          <w:tcPr>
            <w:tcW w:type="dxa" w:w="15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[ ] / 1.25</w:t>
            </w:r>
          </w:p>
        </w:tc>
        <w:tc>
          <w:tcPr>
            <w:tcW w:type="dxa" w:w="27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[Type here.]</w:t>
            </w:r>
          </w:p>
        </w:tc>
      </w:tr>
      <w:tr>
        <w:trPr>
          <w:cantSplit/>
        </w:trP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Driver decomposition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[ ] / 1.25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[Type here.]</w:t>
            </w:r>
          </w:p>
        </w:tc>
      </w:tr>
      <w:tr>
        <w:trPr>
          <w:cantSplit/>
        </w:trPr>
        <w:tc>
          <w:tcPr>
            <w:tcW w:type="dxa" w:w="51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Industry, competitors, peers, and market share</w:t>
            </w:r>
          </w:p>
        </w:tc>
        <w:tc>
          <w:tcPr>
            <w:tcW w:type="dxa" w:w="15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[ ] / 1.00</w:t>
            </w:r>
          </w:p>
        </w:tc>
        <w:tc>
          <w:tcPr>
            <w:tcW w:type="dxa" w:w="27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[Type here.]</w:t>
            </w:r>
          </w:p>
        </w:tc>
      </w:tr>
      <w:tr>
        <w:trPr>
          <w:cantSplit/>
        </w:trP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Leading indicators and revenue risks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[ ] / 1.00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[Type here.]</w:t>
            </w:r>
          </w:p>
        </w:tc>
      </w:tr>
      <w:tr>
        <w:trPr>
          <w:cantSplit/>
        </w:trPr>
        <w:tc>
          <w:tcPr>
            <w:tcW w:type="dxa" w:w="51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Testable revenue hypothesis</w:t>
            </w:r>
          </w:p>
        </w:tc>
        <w:tc>
          <w:tcPr>
            <w:tcW w:type="dxa" w:w="15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[ ] / 1.25</w:t>
            </w:r>
          </w:p>
        </w:tc>
        <w:tc>
          <w:tcPr>
            <w:tcW w:type="dxa" w:w="27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[Type here.]</w:t>
            </w:r>
          </w:p>
        </w:tc>
      </w:tr>
      <w:tr>
        <w:trPr>
          <w:cantSplit/>
        </w:trP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Forecast, valuation, CFO, evidence, and challenge linkage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[ ] / 1.25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[Type here.]</w:t>
            </w:r>
          </w:p>
        </w:tc>
      </w:tr>
      <w:tr>
        <w:trPr>
          <w:cantSplit/>
        </w:trPr>
        <w:tc>
          <w:tcPr>
            <w:tcW w:type="dxa" w:w="51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Milestone score</w:t>
            </w:r>
          </w:p>
        </w:tc>
        <w:tc>
          <w:tcPr>
            <w:tcW w:type="dxa" w:w="15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  <w:t>[ ] / 8.00</w:t>
            </w:r>
          </w:p>
        </w:tc>
        <w:tc>
          <w:tcPr>
            <w:tcW w:type="dxa" w:w="27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7"/>
              </w:rPr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B6472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5B6472"/>
        <w:sz w:val="17"/>
      </w:rPr>
      <w:t>BUS311 Corporate Finance  |  Individual Company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5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7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25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ind w:left="547" w:hanging="288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ind w:left="547" w:hanging="288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BUS311 Stage 2 Revenue Engine and Initial Hypothesis Rubric</dc:title>
  <dc:subject>BUS311 Individual Company Capstone</dc:subject>
  <dc:creator>Professor Bethany Evitts</dc:creator>
  <cp:keywords/>
  <dc:description>Derived from CAPSTONE/source/bus311-capstone.json v1.5.0; SHA-256 f4837831f74562762cfc0ab95e656a1890bbfa684ec2c88f00f4707c512e6ff7</dc:description>
  <cp:lastModifiedBy/>
  <cp:revision>1</cp:revision>
  <dcterms:created xsi:type="dcterms:W3CDTF">2013-12-23T23:15:00Z</dcterms:created>
  <dcterms:modified xsi:type="dcterms:W3CDTF">2013-12-23T23:15:00Z</dcterms:modified>
  <cp:category/>
  <cp:version>1.5.0</cp:version>
</cp:coreProperties>
</file>