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i w:val="0"/>
          <w:color w:val="9C4A2B"/>
          <w:sz w:val="19"/>
        </w:rPr>
        <w:t>BUS311 CORPORATE FINANCE · STUDENT RUBRIC</w:t>
      </w:r>
    </w:p>
    <w:p>
      <w:pPr>
        <w:keepNext/>
        <w:spacing w:after="100"/>
      </w:pPr>
      <w:r>
        <w:rPr>
          <w:rFonts w:ascii="Aptos Display" w:hAnsi="Aptos Display"/>
          <w:b/>
          <w:i w:val="0"/>
          <w:color w:val="152536"/>
          <w:sz w:val="48"/>
        </w:rPr>
        <w:t>Individual Company Capstone Rubric</w:t>
      </w:r>
    </w:p>
    <w:p>
      <w:pPr>
        <w:spacing w:after="200"/>
      </w:pPr>
      <w:r>
        <w:rPr>
          <w:rFonts w:ascii="Aptos" w:hAnsi="Aptos"/>
          <w:b w:val="0"/>
          <w:i w:val="0"/>
          <w:color w:val="5B6472"/>
          <w:sz w:val="18"/>
        </w:rPr>
        <w:t>100 points  |  Complete · Developing · Not demonstrated  |  Source v1.5.0</w:t>
      </w:r>
    </w:p>
    <w:p>
      <w:pPr>
        <w:pBdr>
          <w:bottom w:val="single" w:sz="14" w:space="1" w:color="C18A42"/>
        </w:pBdr>
        <w:spacing w:after="16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DF"/>
            <w:tcMar>
              <w:top w:w="100" w:type="dxa"/>
              <w:start w:w="120" w:type="dxa"/>
              <w:bottom w:w="100" w:type="dxa"/>
              <w:end w:w="120" w:type="dxa"/>
            </w:tcMar>
            <w:vAlign w:val="center"/>
          </w:tcPr>
          <w:p>
            <w:pPr>
              <w:spacing w:after="40"/>
            </w:pPr>
            <w:r>
              <w:rPr>
                <w:rFonts w:ascii="Aptos" w:hAnsi="Aptos"/>
                <w:b/>
                <w:i w:val="0"/>
                <w:color w:val="9C4A2B"/>
                <w:sz w:val="19"/>
              </w:rPr>
              <w:t xml:space="preserve">POINT STRUCTURE  </w:t>
            </w:r>
            <w:r>
              <w:rPr>
                <w:rFonts w:ascii="Aptos" w:hAnsi="Aptos"/>
                <w:b w:val="0"/>
                <w:i w:val="0"/>
                <w:color w:val="152536"/>
                <w:sz w:val="21"/>
              </w:rPr>
              <w:t>Stages 1-4 = 25 points (5 + 8 + 8 + 4). Stage 5 has exactly two criteria: PowerPoint company-analysis project submission = 50 points; Oral Presentation = 25 points. Project total = 100 points.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7960"/>
        <w:gridCol w:w="1400"/>
      </w:tblGrid>
      <w:tr>
        <w:trPr>
          <w:tblHeader w:val="true"/>
          <w:cantSplit/>
        </w:trPr>
        <w:tc>
          <w:tcPr>
            <w:tcW w:type="dxa" w:w="79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8"/>
              </w:rPr>
              <w:t>Component</w:t>
            </w:r>
          </w:p>
        </w:tc>
        <w:tc>
          <w:tcPr>
            <w:tcW w:type="dxa" w:w="14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8"/>
              </w:rPr>
              <w:t>Points</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Stages 1-4: milestones, Excel model, and revision</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25</w:t>
            </w:r>
          </w:p>
        </w:tc>
      </w:tr>
      <w:tr>
        <w:trPr>
          <w:cantSplit/>
        </w:trPr>
        <w:tc>
          <w:tcPr>
            <w:tcW w:type="dxa" w:w="79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PowerPoint company-analysis project submission</w:t>
            </w:r>
          </w:p>
        </w:tc>
        <w:tc>
          <w:tcPr>
            <w:tcW w:type="dxa" w:w="14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50</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Oral Presentation</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25</w:t>
            </w:r>
          </w:p>
        </w:tc>
      </w:tr>
      <w:tr>
        <w:trPr>
          <w:cantSplit/>
        </w:trPr>
        <w:tc>
          <w:tcPr>
            <w:tcW w:type="dxa" w:w="79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Project total</w:t>
            </w:r>
          </w:p>
        </w:tc>
        <w:tc>
          <w:tcPr>
            <w:tcW w:type="dxa" w:w="14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100</w:t>
            </w:r>
          </w:p>
        </w:tc>
      </w:tr>
    </w:tbl>
    <w:p>
      <w:pPr>
        <w:spacing w:after="20"/>
      </w:pPr>
    </w:p>
    <w:p>
      <w:pPr>
        <w:spacing w:after="100"/>
      </w:pPr>
      <w:r>
        <w:rPr>
          <w:rFonts w:ascii="Aptos" w:hAnsi="Aptos"/>
          <w:b w:val="0"/>
          <w:i w:val="0"/>
          <w:color w:val="1A1F2C"/>
          <w:sz w:val="21"/>
        </w:rPr>
        <w:t>Use the evidence list under each criterion to prepare. The rating table shows the concrete evidence expected for Complete, Developing, and Not demonstrated performance.</w:t>
      </w:r>
    </w:p>
    <w:p>
      <w:r>
        <w:br w:type="page"/>
      </w:r>
    </w:p>
    <w:p>
      <w:pPr>
        <w:pStyle w:val="Heading1"/>
        <w:keepNext/>
      </w:pPr>
      <w:r>
        <w:t>1. Company exploration and potential CFO decision — 5 points</w:t>
      </w:r>
    </w:p>
    <w:p>
      <w:pPr>
        <w:spacing w:after="100"/>
      </w:pPr>
      <w:r>
        <w:rPr>
          <w:rFonts w:ascii="Aptos" w:hAnsi="Aptos"/>
          <w:b w:val="0"/>
          <w:i w:val="0"/>
          <w:color w:val="1A1F2C"/>
          <w:sz w:val="21"/>
        </w:rPr>
        <w:t>Identifies an approved public company, completes introductory research, records one concrete FactSet learning, and proposes one potential company-specific CFO decision.</w:t>
      </w:r>
    </w:p>
    <w:p>
      <w:pPr>
        <w:pStyle w:val="Heading2"/>
        <w:keepNext/>
      </w:pPr>
      <w:r>
        <w:t>Required evidence</w:t>
      </w:r>
    </w:p>
    <w:p>
      <w:pPr>
        <w:ind w:left="317" w:hanging="317"/>
      </w:pPr>
      <w:r>
        <w:rPr>
          <w:rFonts w:ascii="Aptos" w:hAnsi="Aptos"/>
          <w:b w:val="0"/>
          <w:i w:val="0"/>
          <w:color w:val="1A1F2C"/>
          <w:sz w:val="21"/>
        </w:rPr>
        <w:t>• The approved public company, ticker, exchange, and individual student are identified.</w:t>
      </w:r>
    </w:p>
    <w:p>
      <w:pPr>
        <w:ind w:left="317" w:hanging="317"/>
      </w:pPr>
      <w:r>
        <w:rPr>
          <w:rFonts w:ascii="Aptos" w:hAnsi="Aptos"/>
          <w:b w:val="0"/>
          <w:i w:val="0"/>
          <w:color w:val="1A1F2C"/>
          <w:sz w:val="21"/>
        </w:rPr>
        <w:t>• Introductory notes show AI and/or ordinary web research and clearly treat those notes as exploratory rather than verified evidence.</w:t>
      </w:r>
    </w:p>
    <w:p>
      <w:pPr>
        <w:ind w:left="317" w:hanging="317"/>
      </w:pPr>
      <w:r>
        <w:rPr>
          <w:rFonts w:ascii="Aptos" w:hAnsi="Aptos"/>
          <w:b w:val="0"/>
          <w:i w:val="0"/>
          <w:color w:val="1A1F2C"/>
          <w:sz w:val="21"/>
        </w:rPr>
        <w:t>• One specific FactSet learning is stated and the screen, report, or feature used is named; formal citation and validation are not required at Stage 1.</w:t>
      </w:r>
    </w:p>
    <w:p>
      <w:pPr>
        <w:ind w:left="317" w:hanging="317"/>
      </w:pPr>
      <w:r>
        <w:rPr>
          <w:rFonts w:ascii="Aptos" w:hAnsi="Aptos"/>
          <w:b w:val="0"/>
          <w:i w:val="0"/>
          <w:color w:val="1A1F2C"/>
          <w:sz w:val="21"/>
        </w:rPr>
        <w:t>• One potential company-specific CFO decision is proposed in the student's own words with a short explanation of why it seems worth investigating.</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5</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approved company and beginner-friendly snapshot are clear; one concrete FactSet learning names the feature used; and the potential CFO decision is specific, company-connected, individually authored, and appropriately tentative.</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3</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submission shows a plausible start, but the company snapshot is thin, the FactSet learning or feature is vague, or the potential CFO decision is broad or weakly connected to the initial research.</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company is outside the approved course scope, required FactSet use is missing, the potential CFO decision is absent, or the work is not individually attributable.</w:t>
            </w:r>
          </w:p>
        </w:tc>
      </w:tr>
    </w:tbl>
    <w:p>
      <w:pPr>
        <w:spacing w:after="20"/>
      </w:pPr>
    </w:p>
    <w:p>
      <w:r>
        <w:br w:type="page"/>
      </w:r>
    </w:p>
    <w:p>
      <w:pPr>
        <w:pStyle w:val="Heading1"/>
        <w:keepNext/>
      </w:pPr>
      <w:r>
        <w:t>2. Revenue engine and initial hypothesis — 8 points</w:t>
      </w:r>
    </w:p>
    <w:p>
      <w:pPr>
        <w:spacing w:after="100"/>
      </w:pPr>
      <w:r>
        <w:rPr>
          <w:rFonts w:ascii="Aptos" w:hAnsi="Aptos"/>
          <w:b w:val="0"/>
          <w:i w:val="0"/>
          <w:color w:val="1A1F2C"/>
          <w:sz w:val="21"/>
        </w:rPr>
        <w:t>Explains how the company generates revenue, what drove three to five years of performance, and what testable hypothesis will guide the later forecast and decision.</w:t>
      </w:r>
    </w:p>
    <w:p>
      <w:pPr>
        <w:pStyle w:val="Heading2"/>
        <w:keepNext/>
      </w:pPr>
      <w:r>
        <w:t>Required evidence</w:t>
      </w:r>
    </w:p>
    <w:p>
      <w:pPr>
        <w:ind w:left="317" w:hanging="317"/>
      </w:pPr>
      <w:r>
        <w:rPr>
          <w:rFonts w:ascii="Aptos" w:hAnsi="Aptos"/>
          <w:b w:val="0"/>
          <w:i w:val="0"/>
          <w:color w:val="1A1F2C"/>
          <w:sz w:val="21"/>
        </w:rPr>
        <w:t>• Revenue is mapped by relevant products or services, segments, geographies, customers, channels, pricing, and recurring or transactional characteristics.</w:t>
      </w:r>
    </w:p>
    <w:p>
      <w:pPr>
        <w:ind w:left="317" w:hanging="317"/>
      </w:pPr>
      <w:r>
        <w:rPr>
          <w:rFonts w:ascii="Aptos" w:hAnsi="Aptos"/>
          <w:b w:val="0"/>
          <w:i w:val="0"/>
          <w:color w:val="1A1F2C"/>
          <w:sz w:val="21"/>
        </w:rPr>
        <w:t>• Three to five years of total and material segment revenue use consistent periods, units, definitions, and traceable SEC or FactSet sources.</w:t>
      </w:r>
    </w:p>
    <w:p>
      <w:pPr>
        <w:ind w:left="317" w:hanging="317"/>
      </w:pPr>
      <w:r>
        <w:rPr>
          <w:rFonts w:ascii="Aptos" w:hAnsi="Aptos"/>
          <w:b w:val="0"/>
          <w:i w:val="0"/>
          <w:color w:val="1A1F2C"/>
          <w:sz w:val="21"/>
        </w:rPr>
        <w:t>• Company-relevant drivers are separated from temporary effects and connected to leading indicators, risks, and limitations.</w:t>
      </w:r>
    </w:p>
    <w:p>
      <w:pPr>
        <w:ind w:left="317" w:hanging="317"/>
      </w:pPr>
      <w:r>
        <w:rPr>
          <w:rFonts w:ascii="Aptos" w:hAnsi="Aptos"/>
          <w:b w:val="0"/>
          <w:i w:val="0"/>
          <w:color w:val="1A1F2C"/>
          <w:sz w:val="21"/>
        </w:rPr>
        <w:t>• The hypothesis names a driver, expected effect, period, and evidence that could support or falsify it.</w:t>
      </w:r>
    </w:p>
    <w:p>
      <w:pPr>
        <w:ind w:left="317" w:hanging="317"/>
      </w:pPr>
      <w:r>
        <w:rPr>
          <w:rFonts w:ascii="Aptos" w:hAnsi="Aptos"/>
          <w:b w:val="0"/>
          <w:i w:val="0"/>
          <w:color w:val="1A1F2C"/>
          <w:sz w:val="21"/>
        </w:rPr>
        <w:t>• A retained AI challenge is independently verified and accepted, modified, or rejected with a student rationale.</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8</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revenue map, reconciled multi-year evidence, company-specific drivers, indicators, risks, and a falsifiable hypothesis are complete, traceable, and connected to the later forecast and CFO decision.</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4</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Revenue history is partly descriptive, incompletely sourced, or weakly decomposed; the hypothesis is vague, only partly testable, or weakly challenged and verified.</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Revenue generation, multi-year evidence, or the hypothesis is missing or materially inaccurate; sources or retained AI claims are unverified.</w:t>
            </w:r>
          </w:p>
        </w:tc>
      </w:tr>
    </w:tbl>
    <w:p>
      <w:pPr>
        <w:spacing w:after="20"/>
      </w:pPr>
    </w:p>
    <w:p>
      <w:r>
        <w:br w:type="page"/>
      </w:r>
    </w:p>
    <w:p>
      <w:pPr>
        <w:pStyle w:val="Heading1"/>
        <w:keepNext/>
      </w:pPr>
      <w:r>
        <w:t>3. Valuation model and scenarios — 8 points</w:t>
      </w:r>
    </w:p>
    <w:p>
      <w:pPr>
        <w:spacing w:after="100"/>
      </w:pPr>
      <w:r>
        <w:rPr>
          <w:rFonts w:ascii="Aptos" w:hAnsi="Aptos"/>
          <w:b w:val="0"/>
          <w:i w:val="0"/>
          <w:color w:val="1A1F2C"/>
          <w:sz w:val="21"/>
        </w:rPr>
        <w:t>Builds an auditable Excel model whose assumptions, scenarios, sensitivities, and decision outputs follow from the revenue diagnosis.</w:t>
      </w:r>
    </w:p>
    <w:p>
      <w:pPr>
        <w:pStyle w:val="Heading2"/>
        <w:keepNext/>
      </w:pPr>
      <w:r>
        <w:t>Required evidence</w:t>
      </w:r>
    </w:p>
    <w:p>
      <w:pPr>
        <w:ind w:left="317" w:hanging="317"/>
      </w:pPr>
      <w:r>
        <w:rPr>
          <w:rFonts w:ascii="Aptos" w:hAnsi="Aptos"/>
          <w:b w:val="0"/>
          <w:i w:val="0"/>
          <w:color w:val="1A1F2C"/>
          <w:sz w:val="21"/>
        </w:rPr>
        <w:t>• Base, upside, and downside assumptions link explicitly to identified operating drivers and the developing decision.</w:t>
      </w:r>
    </w:p>
    <w:p>
      <w:pPr>
        <w:ind w:left="317" w:hanging="317"/>
      </w:pPr>
      <w:r>
        <w:rPr>
          <w:rFonts w:ascii="Aptos" w:hAnsi="Aptos"/>
          <w:b w:val="0"/>
          <w:i w:val="0"/>
          <w:color w:val="1A1F2C"/>
          <w:sz w:val="21"/>
        </w:rPr>
        <w:t>• Inputs, sources, calculations, outputs, checks, scenarios, and sensitivities are separated and labeled with units and periods.</w:t>
      </w:r>
    </w:p>
    <w:p>
      <w:pPr>
        <w:ind w:left="317" w:hanging="317"/>
      </w:pPr>
      <w:r>
        <w:rPr>
          <w:rFonts w:ascii="Aptos" w:hAnsi="Aptos"/>
          <w:b w:val="0"/>
          <w:i w:val="0"/>
          <w:color w:val="1A1F2C"/>
          <w:sz w:val="21"/>
        </w:rPr>
        <w:t>• Applicable finance logic is correct, traceable, and free of unresolved formula or sign errors.</w:t>
      </w:r>
    </w:p>
    <w:p>
      <w:pPr>
        <w:ind w:left="317" w:hanging="317"/>
      </w:pPr>
      <w:r>
        <w:rPr>
          <w:rFonts w:ascii="Aptos" w:hAnsi="Aptos"/>
          <w:b w:val="0"/>
          <w:i w:val="0"/>
          <w:color w:val="1A1F2C"/>
          <w:sz w:val="21"/>
        </w:rPr>
        <w:t>• Visible checks cover scenario consistency, valuation bridges, terminal-value reasonableness, and sensitivity links.</w:t>
      </w:r>
    </w:p>
    <w:p>
      <w:pPr>
        <w:ind w:left="317" w:hanging="317"/>
      </w:pPr>
      <w:r>
        <w:rPr>
          <w:rFonts w:ascii="Aptos" w:hAnsi="Aptos"/>
          <w:b w:val="0"/>
          <w:i w:val="0"/>
          <w:color w:val="1A1F2C"/>
          <w:sz w:val="21"/>
        </w:rPr>
        <w:t>• SEC and FactSet assumptions are labeled with item or report name and as-of date; limitations are disclosed.</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8</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model is revenue-linked, auditable, correctly structured, source-traceable, scenario-responsive, and free of unresolved errors; checks and sensitivities support the decision under uncertainty.</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4</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model runs but has material gaps in driver linkage, sourcing, checks, scenario logic, sensitivity, or applicable finance mechanics.</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model is missing, materially incorrect, hardcoded at key outputs, disconnected from revenue evidence, or contains errors that make the valuation unreliable.</w:t>
            </w:r>
          </w:p>
        </w:tc>
      </w:tr>
    </w:tbl>
    <w:p>
      <w:pPr>
        <w:spacing w:after="20"/>
      </w:pPr>
    </w:p>
    <w:p>
      <w:r>
        <w:br w:type="page"/>
      </w:r>
    </w:p>
    <w:p>
      <w:pPr>
        <w:pStyle w:val="Heading1"/>
        <w:keepNext/>
      </w:pPr>
      <w:r>
        <w:t>4. AI red team and revision — 4 points</w:t>
      </w:r>
    </w:p>
    <w:p>
      <w:pPr>
        <w:spacing w:after="100"/>
      </w:pPr>
      <w:r>
        <w:rPr>
          <w:rFonts w:ascii="Aptos" w:hAnsi="Aptos"/>
          <w:b w:val="0"/>
          <w:i w:val="0"/>
          <w:color w:val="1A1F2C"/>
          <w:sz w:val="21"/>
        </w:rPr>
        <w:t>Documents bounded C-A-P-A-J challenge, independent verification, human judgment, and revision of the hypothesis, assumptions, recommendation, and Oral Presentation preparation.</w:t>
      </w:r>
    </w:p>
    <w:p>
      <w:pPr>
        <w:pStyle w:val="Heading2"/>
        <w:keepNext/>
      </w:pPr>
      <w:r>
        <w:t>Required evidence</w:t>
      </w:r>
    </w:p>
    <w:p>
      <w:pPr>
        <w:ind w:left="317" w:hanging="317"/>
      </w:pPr>
      <w:r>
        <w:rPr>
          <w:rFonts w:ascii="Aptos" w:hAnsi="Aptos"/>
          <w:b w:val="0"/>
          <w:i w:val="0"/>
          <w:color w:val="1A1F2C"/>
          <w:sz w:val="21"/>
        </w:rPr>
        <w:t>• The record identifies context, student-written assumptions, prompt purpose, strongest challenge, and the specific output retained.</w:t>
      </w:r>
    </w:p>
    <w:p>
      <w:pPr>
        <w:ind w:left="317" w:hanging="317"/>
      </w:pPr>
      <w:r>
        <w:rPr>
          <w:rFonts w:ascii="Aptos" w:hAnsi="Aptos"/>
          <w:b w:val="0"/>
          <w:i w:val="0"/>
          <w:color w:val="1A1F2C"/>
          <w:sz w:val="21"/>
        </w:rPr>
        <w:t>• Evidence checked names the exact SEC filing, FactSet item, Excel calculation, or course concept used to test the challenge.</w:t>
      </w:r>
    </w:p>
    <w:p>
      <w:pPr>
        <w:ind w:left="317" w:hanging="317"/>
      </w:pPr>
      <w:r>
        <w:rPr>
          <w:rFonts w:ascii="Aptos" w:hAnsi="Aptos"/>
          <w:b w:val="0"/>
          <w:i w:val="0"/>
          <w:color w:val="1A1F2C"/>
          <w:sz w:val="21"/>
        </w:rPr>
        <w:t>• The student records a finding, uncertainty, accept/modify/reject judgment, and revised hypothesis or decision logic.</w:t>
      </w:r>
    </w:p>
    <w:p>
      <w:pPr>
        <w:ind w:left="317" w:hanging="317"/>
      </w:pPr>
      <w:r>
        <w:rPr>
          <w:rFonts w:ascii="Aptos" w:hAnsi="Aptos"/>
          <w:b w:val="0"/>
          <w:i w:val="0"/>
          <w:color w:val="1A1F2C"/>
          <w:sz w:val="21"/>
        </w:rPr>
        <w:t>• The final disclosure identifies tool, purpose, output retained, verification performed, and where human judgment overruled AI.</w:t>
      </w:r>
    </w:p>
    <w:p>
      <w:pPr>
        <w:ind w:left="317" w:hanging="317"/>
      </w:pPr>
      <w:r>
        <w:rPr>
          <w:rFonts w:ascii="Aptos" w:hAnsi="Aptos"/>
          <w:b w:val="0"/>
          <w:i w:val="0"/>
          <w:color w:val="1A1F2C"/>
          <w:sz w:val="21"/>
        </w:rPr>
        <w:t>• No raw licensed, private, instructor-only, or nonpublic material is supplied to a public AI tool.</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4</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record provides a concise verification trail showing skeptical challenge, authoritative evidence, transparent uncertainty, independent judgment, and a material revision or well-defended decision not to revise.</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2</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An AI interaction is recorded, but verification is shallow, the accept/modify/reject judgment is weak, or the revision and disclosure trail is incomplete.</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AI output substitutes for student analysis, or verification, judgment, disclosure, privacy safeguards, or the required record is missing.</w:t>
            </w:r>
          </w:p>
        </w:tc>
      </w:tr>
    </w:tbl>
    <w:p>
      <w:pPr>
        <w:spacing w:after="20"/>
      </w:pPr>
    </w:p>
    <w:p>
      <w:r>
        <w:br w:type="page"/>
      </w:r>
    </w:p>
    <w:p>
      <w:pPr>
        <w:pStyle w:val="Heading1"/>
        <w:keepNext/>
      </w:pPr>
      <w:r>
        <w:t>5. PowerPoint company-analysis project submission — 50 points</w:t>
      </w:r>
    </w:p>
    <w:p>
      <w:pPr>
        <w:spacing w:after="100"/>
      </w:pPr>
      <w:r>
        <w:rPr>
          <w:rFonts w:ascii="Aptos" w:hAnsi="Aptos"/>
          <w:b w:val="0"/>
          <w:i w:val="0"/>
          <w:color w:val="1A1F2C"/>
          <w:sz w:val="21"/>
        </w:rPr>
        <w:t>Submits one editable, Board-ready PowerPoint company analysis that turns the semester's revenue, model, scenario, and red-team work into a traceable CFO recommendation and implementation plan.</w:t>
      </w:r>
    </w:p>
    <w:p>
      <w:pPr>
        <w:pStyle w:val="Heading2"/>
        <w:keepNext/>
      </w:pPr>
      <w:r>
        <w:t>Required evidence</w:t>
      </w:r>
    </w:p>
    <w:p>
      <w:pPr>
        <w:ind w:left="317" w:hanging="317"/>
      </w:pPr>
      <w:r>
        <w:rPr>
          <w:rFonts w:ascii="Aptos" w:hAnsi="Aptos"/>
          <w:b w:val="0"/>
          <w:i w:val="0"/>
          <w:color w:val="1A1F2C"/>
          <w:sz w:val="21"/>
        </w:rPr>
        <w:t>• Exactly one editable .pptx is uploaded by the final file lock using the required filename; it contains 8-10 core slides plus an optional analytical appendix.</w:t>
      </w:r>
    </w:p>
    <w:p>
      <w:pPr>
        <w:ind w:left="317" w:hanging="317"/>
      </w:pPr>
      <w:r>
        <w:rPr>
          <w:rFonts w:ascii="Aptos" w:hAnsi="Aptos"/>
          <w:b w:val="0"/>
          <w:i w:val="0"/>
          <w:color w:val="1A1F2C"/>
          <w:sz w:val="21"/>
        </w:rPr>
        <w:t>• The requested Board decision and company-specific CFO recommendation are explicit, and three-to-five-year revenue evidence, drivers, hypothesis, and red-team revision lead into the forecast and decision.</w:t>
      </w:r>
    </w:p>
    <w:p>
      <w:pPr>
        <w:ind w:left="317" w:hanging="317"/>
      </w:pPr>
      <w:r>
        <w:rPr>
          <w:rFonts w:ascii="Aptos" w:hAnsi="Aptos"/>
          <w:b w:val="0"/>
          <w:i w:val="0"/>
          <w:color w:val="1A1F2C"/>
          <w:sz w:val="21"/>
        </w:rPr>
        <w:t>• Valuation or capital-budgeting outputs, base/upside/downside scenarios, and decision-changing sensitivities reconcile to the assessed Excel model and disclose material assumptions and limitations.</w:t>
      </w:r>
    </w:p>
    <w:p>
      <w:pPr>
        <w:ind w:left="317" w:hanging="317"/>
      </w:pPr>
      <w:r>
        <w:rPr>
          <w:rFonts w:ascii="Aptos" w:hAnsi="Aptos"/>
          <w:b w:val="0"/>
          <w:i w:val="0"/>
          <w:color w:val="1A1F2C"/>
          <w:sz w:val="21"/>
        </w:rPr>
        <w:t>• Credible alternatives are compared, and two or three supporting actions identify owners, timing, resources, dependencies, performance indicators, triggers, risks, and mitigations.</w:t>
      </w:r>
    </w:p>
    <w:p>
      <w:pPr>
        <w:ind w:left="317" w:hanging="317"/>
      </w:pPr>
      <w:r>
        <w:rPr>
          <w:rFonts w:ascii="Aptos" w:hAnsi="Aptos"/>
          <w:b w:val="0"/>
          <w:i w:val="0"/>
          <w:color w:val="1A1F2C"/>
          <w:sz w:val="21"/>
        </w:rPr>
        <w:t>• Visuals are readable, accessible, editable or traceable, and labeled with units, periods, definitions, SEC/FactSet/model source notes, and the verified AI-use disclosure.</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50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One on-time editable .pptx meets the slide limit and presents a precise company-specific CFO decision supported by traceable revenue evidence, a tested hypothesis, model-reconciled valuation and scenarios, credible alternatives, an actionable implementation plan, risks and limitations, accessible visuals, source notes, and verified AI disclosure.</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25</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An editable PowerPoint and recommendation are present, but one or more material gaps weaken decision readiness: revenue-to-valuation linkage, model reconciliation, scenarios, alternatives, implementation, risks, source notes, accessibility, traceability, file format, or slide discipline.</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No usable editable .pptx is submitted, or the file is materially incomplete, generic, unsupported, inaccessible, unreconciled to the model, or does not communicate an individually authored company-analysis recommendation.</w:t>
            </w:r>
          </w:p>
        </w:tc>
      </w:tr>
    </w:tbl>
    <w:p>
      <w:pPr>
        <w:spacing w:after="20"/>
      </w:pPr>
    </w:p>
    <w:p>
      <w:r>
        <w:br w:type="page"/>
      </w:r>
    </w:p>
    <w:p>
      <w:pPr>
        <w:pStyle w:val="Heading1"/>
        <w:keepNext/>
      </w:pPr>
      <w:r>
        <w:t>6. Oral Presentation — 25 points</w:t>
      </w:r>
    </w:p>
    <w:p>
      <w:pPr>
        <w:spacing w:after="100"/>
      </w:pPr>
      <w:r>
        <w:rPr>
          <w:rFonts w:ascii="Aptos" w:hAnsi="Aptos"/>
          <w:b w:val="0"/>
          <w:i w:val="0"/>
          <w:color w:val="1A1F2C"/>
          <w:sz w:val="21"/>
        </w:rPr>
        <w:t>Delivers the submitted company analysis live to the class with professional Board-level communication and demonstrates individual command of the evidence, model, assumptions, alternatives, implementation, risks, and limitations.</w:t>
      </w:r>
    </w:p>
    <w:p>
      <w:pPr>
        <w:pStyle w:val="Heading2"/>
        <w:keepNext/>
      </w:pPr>
      <w:r>
        <w:t>Required evidence</w:t>
      </w:r>
    </w:p>
    <w:p>
      <w:pPr>
        <w:ind w:left="317" w:hanging="317"/>
      </w:pPr>
      <w:r>
        <w:rPr>
          <w:rFonts w:ascii="Aptos" w:hAnsi="Aptos"/>
          <w:b w:val="0"/>
          <w:i w:val="0"/>
          <w:color w:val="1A1F2C"/>
          <w:sz w:val="21"/>
        </w:rPr>
        <w:t>• The student presents live on the assigned date using the submitted PowerPoint; the Oral Presentation is not a second uploaded file.</w:t>
      </w:r>
    </w:p>
    <w:p>
      <w:pPr>
        <w:ind w:left="317" w:hanging="317"/>
      </w:pPr>
      <w:r>
        <w:rPr>
          <w:rFonts w:ascii="Aptos" w:hAnsi="Aptos"/>
          <w:b w:val="0"/>
          <w:i w:val="0"/>
          <w:color w:val="1A1F2C"/>
          <w:sz w:val="21"/>
        </w:rPr>
        <w:t>• The decision briefing uses up to seven minutes, leads with the recommendation, explains revenue before valuation, and uses the slides as evidence rather than as a script.</w:t>
      </w:r>
    </w:p>
    <w:p>
      <w:pPr>
        <w:ind w:left="317" w:hanging="317"/>
      </w:pPr>
      <w:r>
        <w:rPr>
          <w:rFonts w:ascii="Aptos" w:hAnsi="Aptos"/>
          <w:b w:val="0"/>
          <w:i w:val="0"/>
          <w:color w:val="1A1F2C"/>
          <w:sz w:val="21"/>
        </w:rPr>
        <w:t>• Voice, pacing, transitions, terminology, and audience engagement are clear, professional, and appropriate for a CFO-and-Board audience in the classroom.</w:t>
      </w:r>
    </w:p>
    <w:p>
      <w:pPr>
        <w:ind w:left="317" w:hanging="317"/>
      </w:pPr>
      <w:r>
        <w:rPr>
          <w:rFonts w:ascii="Aptos" w:hAnsi="Aptos"/>
          <w:b w:val="0"/>
          <w:i w:val="0"/>
          <w:color w:val="1A1F2C"/>
          <w:sz w:val="21"/>
        </w:rPr>
        <w:t>• For up to three additional minutes, the student responds accurately to live questions about sources, revenue drivers, assumptions, calculations, scenarios, alternatives, implementation, risks, and conditions that would change the decision.</w:t>
      </w:r>
    </w:p>
    <w:p>
      <w:pPr>
        <w:ind w:left="317" w:hanging="317"/>
      </w:pPr>
      <w:r>
        <w:rPr>
          <w:rFonts w:ascii="Aptos" w:hAnsi="Aptos"/>
          <w:b w:val="0"/>
          <w:i w:val="0"/>
          <w:color w:val="1A1F2C"/>
          <w:sz w:val="21"/>
        </w:rPr>
        <w:t>• When uncertain, the student states the limitation and the next evidence or calculation needed; the Oral Presentation and responses demonstrate individual ownership. The briefing and question responses are scored together in this single 25-point criterion.</w:t>
      </w:r>
    </w:p>
    <w:p>
      <w:pPr>
        <w:pStyle w:val="Heading2"/>
        <w:keepNext/>
      </w:pPr>
      <w:r>
        <w:t>Performance evidence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trPr>
        <w:tc>
          <w:tcPr>
            <w:tcW w:type="dxa" w:w="16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Rating</w:t>
            </w:r>
          </w:p>
        </w:tc>
        <w:tc>
          <w:tcPr>
            <w:tcW w:type="dxa" w:w="11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Points</w:t>
            </w:r>
          </w:p>
        </w:tc>
        <w:tc>
          <w:tcPr>
            <w:tcW w:type="dxa" w:w="66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7"/>
              </w:rPr>
              <w:t>Evidence description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Complete</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25</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student gives a decision-led, well-paced Oral Presentation within the allotted briefing time and responds accurately and specifically to live questions, tracing sources and model logic, explaining alternatives and risks, acknowledging limits, and demonstrating clear individual ownership throughout.</w:t>
            </w:r>
          </w:p>
        </w:tc>
      </w:tr>
      <w:tr>
        <w:trPr>
          <w:cantSplit/>
        </w:trPr>
        <w:tc>
          <w:tcPr>
            <w:tcW w:type="dxa" w:w="16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Developing</w:t>
            </w:r>
          </w:p>
        </w:tc>
        <w:tc>
          <w:tcPr>
            <w:tcW w:type="dxa" w:w="11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13</w:t>
            </w:r>
          </w:p>
        </w:tc>
        <w:tc>
          <w:tcPr>
            <w:tcW w:type="dxa" w:w="66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core message is understandable, but timing, organization, reading, jargon, pacing, audience fit, source or model command, response accuracy, treatment of alternatives and risks, or acknowledgment of uncertainty materially weakens the Oral Presentation.</w:t>
            </w:r>
          </w:p>
        </w:tc>
      </w:tr>
      <w:tr>
        <w:trPr>
          <w:cantSplit/>
        </w:trPr>
        <w:tc>
          <w:tcPr>
            <w:tcW w:type="dxa" w:w="1600"/>
            <w:tcMar>
              <w:top w:w="100" w:type="dxa"/>
              <w:start w:w="120" w:type="dxa"/>
              <w:bottom w:w="100" w:type="dxa"/>
              <w:end w:w="120" w:type="dxa"/>
            </w:tcMar>
            <w:vAlign w:val="center"/>
          </w:tcPr>
          <w:p>
            <w:pPr>
              <w:spacing w:after="20" w:line="247" w:lineRule="auto"/>
            </w:pPr>
            <w:r/>
            <w:r>
              <w:rPr>
                <w:rFonts w:ascii="Aptos" w:hAnsi="Aptos"/>
                <w:b w:val="0"/>
                <w:i w:val="0"/>
                <w:color w:val="1A1F2C"/>
                <w:sz w:val="17"/>
              </w:rPr>
              <w:t>Not demonstrated</w:t>
            </w:r>
          </w:p>
        </w:tc>
        <w:tc>
          <w:tcPr>
            <w:tcW w:type="dxa" w:w="1100"/>
            <w:tcMar>
              <w:top w:w="100" w:type="dxa"/>
              <w:start w:w="120" w:type="dxa"/>
              <w:bottom w:w="100" w:type="dxa"/>
              <w:end w:w="120" w:type="dxa"/>
            </w:tcMar>
            <w:vAlign w:val="center"/>
          </w:tcPr>
          <w:p>
            <w:pPr>
              <w:spacing w:after="20" w:line="247" w:lineRule="auto"/>
            </w:pPr>
            <w:r/>
            <w:r>
              <w:rPr>
                <w:rFonts w:ascii="Aptos" w:hAnsi="Aptos"/>
                <w:b w:val="0"/>
                <w:i w:val="0"/>
                <w:color w:val="1A1F2C"/>
                <w:sz w:val="17"/>
              </w:rPr>
              <w:t>0</w:t>
            </w:r>
          </w:p>
        </w:tc>
        <w:tc>
          <w:tcPr>
            <w:tcW w:type="dxa" w:w="6660"/>
            <w:tcMar>
              <w:top w:w="100" w:type="dxa"/>
              <w:start w:w="120" w:type="dxa"/>
              <w:bottom w:w="100" w:type="dxa"/>
              <w:end w:w="120" w:type="dxa"/>
            </w:tcMar>
            <w:vAlign w:val="center"/>
          </w:tcPr>
          <w:p>
            <w:pPr>
              <w:spacing w:after="20" w:line="247" w:lineRule="auto"/>
            </w:pPr>
            <w:r/>
            <w:r>
              <w:rPr>
                <w:rFonts w:ascii="Aptos" w:hAnsi="Aptos"/>
                <w:b w:val="0"/>
                <w:i w:val="0"/>
                <w:color w:val="1A1F2C"/>
                <w:sz w:val="17"/>
              </w:rPr>
              <w:t>The student does not deliver the required Oral Presentation, is substantially unprepared, cannot explain essential evidence or model mechanics, gives materially inaccurate or invented responses, or does not demonstrate individual ownership.</w:t>
            </w:r>
          </w:p>
        </w:tc>
      </w:tr>
    </w:tbl>
    <w:p>
      <w:pPr>
        <w:spacing w:after="20"/>
      </w:pPr>
    </w:p>
    <w:p>
      <w:r>
        <w:br w:type="page"/>
      </w:r>
    </w:p>
    <w:p>
      <w:pPr>
        <w:pStyle w:val="Heading1"/>
        <w:keepNext/>
      </w:pPr>
      <w:r>
        <w:t>Final point check</w:t>
      </w:r>
    </w:p>
    <w:tbl>
      <w:tblPr>
        <w:tblStyle w:val="TableGrid"/>
        <w:tblW w:type="dxa" w:w="9360"/>
        <w:jc w:val="left"/>
        <w:tblLayout w:type="fixed"/>
        <w:tblLook w:firstColumn="1" w:firstRow="1" w:lastColumn="0" w:lastRow="0" w:noHBand="0" w:noVBand="1" w:val="04A0"/>
        <w:tblInd w:w="120" w:type="dxa"/>
      </w:tblPr>
      <w:tblGrid>
        <w:gridCol w:w="7960"/>
        <w:gridCol w:w="1400"/>
      </w:tblGrid>
      <w:tr>
        <w:trPr>
          <w:tblHeader w:val="true"/>
          <w:cantSplit/>
        </w:trPr>
        <w:tc>
          <w:tcPr>
            <w:tcW w:type="dxa" w:w="7960"/>
            <w:shd w:fill="EDF3F7"/>
            <w:tcMar>
              <w:top w:w="100" w:type="dxa"/>
              <w:start w:w="120" w:type="dxa"/>
              <w:bottom w:w="100" w:type="dxa"/>
              <w:end w:w="120" w:type="dxa"/>
            </w:tcMar>
            <w:vAlign w:val="center"/>
          </w:tcPr>
          <w:p>
            <w:pPr>
              <w:spacing w:after="20" w:line="247" w:lineRule="auto"/>
            </w:pPr>
            <w:r/>
            <w:r>
              <w:rPr>
                <w:rFonts w:ascii="Aptos" w:hAnsi="Aptos"/>
                <w:b/>
                <w:i w:val="0"/>
                <w:color w:val="152536"/>
                <w:sz w:val="18"/>
              </w:rPr>
              <w:t>Criterion</w:t>
            </w:r>
          </w:p>
        </w:tc>
        <w:tc>
          <w:tcPr>
            <w:tcW w:type="dxa" w:w="1400"/>
            <w:shd w:fill="EDF3F7"/>
            <w:tcMar>
              <w:top w:w="100" w:type="dxa"/>
              <w:start w:w="120" w:type="dxa"/>
              <w:bottom w:w="100" w:type="dxa"/>
              <w:end w:w="120" w:type="dxa"/>
            </w:tcMar>
            <w:vAlign w:val="center"/>
          </w:tcPr>
          <w:p>
            <w:pPr>
              <w:spacing w:after="20" w:line="247" w:lineRule="auto"/>
            </w:pPr>
            <w:r/>
            <w:r>
              <w:rPr>
                <w:rFonts w:ascii="Aptos" w:hAnsi="Aptos"/>
                <w:b/>
                <w:i w:val="0"/>
                <w:color w:val="152536"/>
                <w:sz w:val="18"/>
              </w:rPr>
              <w:t>Maximum points</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Company exploration and potential CFO decision</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5</w:t>
            </w:r>
          </w:p>
        </w:tc>
      </w:tr>
      <w:tr>
        <w:trPr>
          <w:cantSplit/>
        </w:trPr>
        <w:tc>
          <w:tcPr>
            <w:tcW w:type="dxa" w:w="79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Revenue engine and initial hypothesis</w:t>
            </w:r>
          </w:p>
        </w:tc>
        <w:tc>
          <w:tcPr>
            <w:tcW w:type="dxa" w:w="14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8</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Valuation model and scenarios</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8</w:t>
            </w:r>
          </w:p>
        </w:tc>
      </w:tr>
      <w:tr>
        <w:trPr>
          <w:cantSplit/>
        </w:trPr>
        <w:tc>
          <w:tcPr>
            <w:tcW w:type="dxa" w:w="79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AI red team and revision</w:t>
            </w:r>
          </w:p>
        </w:tc>
        <w:tc>
          <w:tcPr>
            <w:tcW w:type="dxa" w:w="14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4</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PowerPoint company-analysis project submission</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50</w:t>
            </w:r>
          </w:p>
        </w:tc>
      </w:tr>
      <w:tr>
        <w:trPr>
          <w:cantSplit/>
        </w:trPr>
        <w:tc>
          <w:tcPr>
            <w:tcW w:type="dxa" w:w="796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Oral Presentation</w:t>
            </w:r>
          </w:p>
        </w:tc>
        <w:tc>
          <w:tcPr>
            <w:tcW w:type="dxa" w:w="1400"/>
            <w:shd w:fill="FAF8F3"/>
            <w:tcMar>
              <w:top w:w="100" w:type="dxa"/>
              <w:start w:w="120" w:type="dxa"/>
              <w:bottom w:w="100" w:type="dxa"/>
              <w:end w:w="120" w:type="dxa"/>
            </w:tcMar>
            <w:vAlign w:val="center"/>
          </w:tcPr>
          <w:p>
            <w:pPr>
              <w:spacing w:after="20" w:line="247" w:lineRule="auto"/>
            </w:pPr>
            <w:r/>
            <w:r>
              <w:rPr>
                <w:rFonts w:ascii="Aptos" w:hAnsi="Aptos"/>
                <w:b w:val="0"/>
                <w:i w:val="0"/>
                <w:color w:val="1A1F2C"/>
                <w:sz w:val="18"/>
              </w:rPr>
              <w:t>25</w:t>
            </w:r>
          </w:p>
        </w:tc>
      </w:tr>
      <w:tr>
        <w:trPr>
          <w:cantSplit/>
        </w:trPr>
        <w:tc>
          <w:tcPr>
            <w:tcW w:type="dxa" w:w="7960"/>
            <w:tcMar>
              <w:top w:w="100" w:type="dxa"/>
              <w:start w:w="120" w:type="dxa"/>
              <w:bottom w:w="100" w:type="dxa"/>
              <w:end w:w="120" w:type="dxa"/>
            </w:tcMar>
            <w:vAlign w:val="center"/>
          </w:tcPr>
          <w:p>
            <w:pPr>
              <w:spacing w:after="20" w:line="247" w:lineRule="auto"/>
            </w:pPr>
            <w:r/>
            <w:r>
              <w:rPr>
                <w:rFonts w:ascii="Aptos" w:hAnsi="Aptos"/>
                <w:b w:val="0"/>
                <w:i w:val="0"/>
                <w:color w:val="1A1F2C"/>
                <w:sz w:val="18"/>
              </w:rPr>
              <w:t>Total</w:t>
            </w:r>
          </w:p>
        </w:tc>
        <w:tc>
          <w:tcPr>
            <w:tcW w:type="dxa" w:w="1400"/>
            <w:tcMar>
              <w:top w:w="100" w:type="dxa"/>
              <w:start w:w="120" w:type="dxa"/>
              <w:bottom w:w="100" w:type="dxa"/>
              <w:end w:w="120" w:type="dxa"/>
            </w:tcMar>
            <w:vAlign w:val="center"/>
          </w:tcPr>
          <w:p>
            <w:pPr>
              <w:spacing w:after="20" w:line="247" w:lineRule="auto"/>
            </w:pPr>
            <w:r/>
            <w:r>
              <w:rPr>
                <w:rFonts w:ascii="Aptos" w:hAnsi="Aptos"/>
                <w:b w:val="0"/>
                <w:i w:val="0"/>
                <w:color w:val="1A1F2C"/>
                <w:sz w:val="18"/>
              </w:rPr>
              <w:t>100</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DF3F7"/>
            <w:tcMar>
              <w:top w:w="100" w:type="dxa"/>
              <w:start w:w="120" w:type="dxa"/>
              <w:bottom w:w="100" w:type="dxa"/>
              <w:end w:w="120" w:type="dxa"/>
            </w:tcMar>
            <w:vAlign w:val="center"/>
          </w:tcPr>
          <w:p>
            <w:pPr>
              <w:spacing w:after="40"/>
            </w:pPr>
            <w:r>
              <w:rPr>
                <w:rFonts w:ascii="Aptos" w:hAnsi="Aptos"/>
                <w:b/>
                <w:i w:val="0"/>
                <w:color w:val="355773"/>
                <w:sz w:val="19"/>
              </w:rPr>
              <w:t xml:space="preserve">STAGE 5 SCORING BOUNDARY  </w:t>
            </w:r>
            <w:r>
              <w:rPr>
                <w:rFonts w:ascii="Aptos" w:hAnsi="Aptos"/>
                <w:b w:val="0"/>
                <w:i w:val="0"/>
                <w:color w:val="152536"/>
                <w:sz w:val="21"/>
              </w:rPr>
              <w:t>There is no separate score for delivery or for responses to questions. Both are included in the single 25-point Oral Presentation criterion.</w:t>
            </w:r>
          </w:p>
        </w:tc>
      </w:tr>
    </w:tbl>
    <w:p>
      <w:pPr>
        <w:spacing w:after="20"/>
      </w:pP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472"/>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B6472"/>
        <w:sz w:val="17"/>
      </w:rPr>
      <w:t>BUS311 Corporate Finance  |  Individual Company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5253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557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25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547" w:hanging="28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ind w:left="547" w:hanging="28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Individual Company Capstone Student Rubric</dc:title>
  <dc:subject>BUS311 Individual Company Capstone</dc:subject>
  <dc:creator>Professor Bethany Evitts</dc:creator>
  <cp:keywords/>
  <dc:description>Derived from CAPSTONE/source/bus311-capstone.json v1.5.0; SHA-256 f4837831f74562762cfc0ab95e656a1890bbfa684ec2c88f00f4707c512e6ff7</dc:description>
  <cp:lastModifiedBy/>
  <cp:revision>1</cp:revision>
  <dcterms:created xsi:type="dcterms:W3CDTF">2013-12-23T23:15:00Z</dcterms:created>
  <dcterms:modified xsi:type="dcterms:W3CDTF">2013-12-23T23:15:00Z</dcterms:modified>
  <cp:category/>
  <cp:version>1.5.0</cp:version>
</cp:coreProperties>
</file>