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40" w:lineRule="auto"/>
      </w:pPr>
      <w:r>
        <w:rPr>
          <w:rFonts w:ascii="Calibri" w:hAnsi="Calibri"/>
          <w:b/>
          <w:color w:val="C66A3D"/>
          <w:sz w:val="21"/>
        </w:rPr>
        <w:t>STUDENT INSTRUCTIONS</w:t>
      </w:r>
    </w:p>
    <w:p>
      <w:pPr>
        <w:spacing w:before="0" w:after="80" w:line="240" w:lineRule="auto"/>
      </w:pPr>
      <w:r>
        <w:rPr>
          <w:rFonts w:ascii="Calibri" w:hAnsi="Calibri"/>
          <w:b/>
          <w:color w:val="0A2540"/>
          <w:sz w:val="46"/>
        </w:rPr>
        <w:t>BUS311 One-Page Executive Summary</w:t>
      </w:r>
    </w:p>
    <w:p>
      <w:pPr>
        <w:spacing w:before="0" w:after="280" w:line="240" w:lineRule="auto"/>
      </w:pPr>
      <w:r>
        <w:rPr>
          <w:rFonts w:ascii="Calibri" w:hAnsi="Calibri"/>
          <w:b/>
          <w:color w:val="5E6B75"/>
          <w:sz w:val="22"/>
        </w:rPr>
        <w:t>Individual company capstone | CFO and Board audience | 15 project points</w:t>
      </w:r>
    </w:p>
    <w:p>
      <w:pPr>
        <w:spacing w:before="0" w:after="120" w:line="264" w:lineRule="auto"/>
      </w:pPr>
      <w:r>
        <w:rPr>
          <w:rFonts w:ascii="Calibri" w:hAnsi="Calibri"/>
          <w:b/>
          <w:color w:val="111827"/>
          <w:sz w:val="22"/>
        </w:rPr>
        <w:t>Status:</w:t>
      </w:r>
      <w:r>
        <w:rPr>
          <w:rFonts w:ascii="Calibri" w:hAnsi="Calibri"/>
          <w:color w:val="111827"/>
          <w:sz w:val="22"/>
        </w:rPr>
        <w:t xml:space="preserve"> Student-facing instructor-review draft | </w:t>
      </w:r>
      <w:r>
        <w:rPr>
          <w:rFonts w:ascii="Calibri" w:hAnsi="Calibri"/>
          <w:b/>
          <w:color w:val="111827"/>
          <w:sz w:val="22"/>
        </w:rPr>
        <w:t>Term:</w:t>
      </w:r>
      <w:r>
        <w:rPr>
          <w:rFonts w:ascii="Calibri" w:hAnsi="Calibri"/>
          <w:color w:val="111827"/>
          <w:sz w:val="22"/>
        </w:rPr>
        <w:t xml:space="preserve"> Fall 2026 | </w:t>
      </w:r>
      <w:r>
        <w:rPr>
          <w:rFonts w:ascii="Calibri" w:hAnsi="Calibri"/>
          <w:b/>
          <w:color w:val="111827"/>
          <w:sz w:val="22"/>
        </w:rPr>
        <w:t>Value:</w:t>
      </w:r>
      <w:r>
        <w:rPr>
          <w:rFonts w:ascii="Calibri" w:hAnsi="Calibri"/>
          <w:color w:val="111827"/>
          <w:sz w:val="22"/>
        </w:rPr>
        <w:t xml:space="preserve"> 15 project points</w:t>
      </w:r>
    </w:p>
    <w:p>
      <w:pPr>
        <w:spacing w:before="0" w:after="120" w:line="264" w:lineRule="auto"/>
      </w:pPr>
      <w:r>
        <w:rPr>
          <w:rFonts w:ascii="Calibri" w:hAnsi="Calibri"/>
          <w:color w:val="111827"/>
          <w:sz w:val="22"/>
        </w:rPr>
        <w:t>The one-page executive summary is one of exactly two final communication submissions. Your other final communication file is the PPTX Board presentation. The Excel model is assessed earlier as a milestone working artifact; it is not a third final communication file.</w:t>
      </w:r>
    </w:p>
    <w:p>
      <w:pPr>
        <w:pStyle w:val="Heading1"/>
      </w:pPr>
      <w:r>
        <w:rPr>
          <w:rFonts w:ascii="Calibri" w:hAnsi="Calibri"/>
          <w:color w:val="175FA9"/>
          <w:sz w:val="32"/>
        </w:rPr>
        <w:t>Purpose and audience</w:t>
      </w:r>
    </w:p>
    <w:p>
      <w:pPr>
        <w:spacing w:before="0" w:after="120" w:line="264" w:lineRule="auto"/>
      </w:pPr>
      <w:r>
        <w:rPr>
          <w:rFonts w:ascii="Calibri" w:hAnsi="Calibri"/>
          <w:color w:val="111827"/>
          <w:sz w:val="22"/>
        </w:rPr>
        <w:t xml:space="preserve">Write as an internal corporate finance analyst advising your selected company's </w:t>
      </w:r>
      <w:r>
        <w:rPr>
          <w:rFonts w:ascii="Calibri" w:hAnsi="Calibri"/>
          <w:b/>
          <w:color w:val="111827"/>
          <w:sz w:val="22"/>
        </w:rPr>
        <w:t>CFO and Board</w:t>
      </w:r>
      <w:r>
        <w:rPr>
          <w:rFonts w:ascii="Calibri" w:hAnsi="Calibri"/>
          <w:color w:val="111827"/>
          <w:sz w:val="22"/>
        </w:rPr>
        <w:t>. The page must make a decision easy to understand, approve, monitor, and revise. It is not a company profile, a miniature research report, an investor recommendation, or a Buy/Hold/Sell call.</w:t>
      </w:r>
    </w:p>
    <w:p>
      <w:pPr>
        <w:spacing w:before="0" w:after="120" w:line="264" w:lineRule="auto"/>
      </w:pPr>
      <w:r>
        <w:rPr>
          <w:rFonts w:ascii="Calibri" w:hAnsi="Calibri"/>
          <w:color w:val="111827"/>
          <w:sz w:val="22"/>
        </w:rPr>
        <w:t>Your page should allow an executive reader to answer five questions quickly:</w:t>
      </w:r>
    </w:p>
    <w:p>
      <w:pPr>
        <w:spacing w:before="0" w:after="100" w:line="264" w:lineRule="auto"/>
        <w:numPr>
          <w:ilvl w:val="0"/>
          <w:numId w:val="11"/>
        </w:numPr>
      </w:pPr>
      <w:r>
        <w:rPr>
          <w:rFonts w:ascii="Calibri" w:hAnsi="Calibri"/>
          <w:color w:val="111827"/>
          <w:sz w:val="22"/>
        </w:rPr>
        <w:t>What decision is being requested?</w:t>
      </w:r>
    </w:p>
    <w:p>
      <w:pPr>
        <w:spacing w:before="0" w:after="100" w:line="264" w:lineRule="auto"/>
        <w:numPr>
          <w:ilvl w:val="0"/>
          <w:numId w:val="11"/>
        </w:numPr>
      </w:pPr>
      <w:r>
        <w:rPr>
          <w:rFonts w:ascii="Calibri" w:hAnsi="Calibri"/>
          <w:color w:val="111827"/>
          <w:sz w:val="22"/>
        </w:rPr>
        <w:t>Why does the company's revenue engine and operating evidence support that decision?</w:t>
      </w:r>
    </w:p>
    <w:p>
      <w:pPr>
        <w:spacing w:before="0" w:after="100" w:line="264" w:lineRule="auto"/>
        <w:numPr>
          <w:ilvl w:val="0"/>
          <w:numId w:val="11"/>
        </w:numPr>
      </w:pPr>
      <w:r>
        <w:rPr>
          <w:rFonts w:ascii="Calibri" w:hAnsi="Calibri"/>
          <w:color w:val="111827"/>
          <w:sz w:val="22"/>
        </w:rPr>
        <w:t>What did the valuation and scenarios show?</w:t>
      </w:r>
    </w:p>
    <w:p>
      <w:pPr>
        <w:spacing w:before="0" w:after="100" w:line="264" w:lineRule="auto"/>
        <w:numPr>
          <w:ilvl w:val="0"/>
          <w:numId w:val="11"/>
        </w:numPr>
      </w:pPr>
      <w:r>
        <w:rPr>
          <w:rFonts w:ascii="Calibri" w:hAnsi="Calibri"/>
          <w:color w:val="111827"/>
          <w:sz w:val="22"/>
        </w:rPr>
        <w:t>What should management do, who owns the work, and what would trigger a change?</w:t>
      </w:r>
    </w:p>
    <w:p>
      <w:pPr>
        <w:spacing w:before="0" w:after="100" w:line="264" w:lineRule="auto"/>
        <w:numPr>
          <w:ilvl w:val="0"/>
          <w:numId w:val="11"/>
        </w:numPr>
      </w:pPr>
      <w:r>
        <w:rPr>
          <w:rFonts w:ascii="Calibri" w:hAnsi="Calibri"/>
          <w:color w:val="111827"/>
          <w:sz w:val="22"/>
        </w:rPr>
        <w:t>What are the principal risks, tradeoffs, sources, and AI-use boundaries?</w:t>
      </w:r>
    </w:p>
    <w:p>
      <w:pPr>
        <w:pStyle w:val="Heading1"/>
      </w:pPr>
      <w:r>
        <w:rPr>
          <w:rFonts w:ascii="Calibri" w:hAnsi="Calibri"/>
          <w:color w:val="175FA9"/>
          <w:sz w:val="32"/>
        </w:rPr>
        <w:t>Required file and submission format</w:t>
      </w:r>
    </w:p>
    <w:p>
      <w:pPr>
        <w:spacing w:before="0" w:after="120" w:line="264" w:lineRule="auto"/>
      </w:pPr>
      <w:r>
        <w:rPr>
          <w:rFonts w:ascii="Calibri" w:hAnsi="Calibri"/>
          <w:b/>
          <w:color w:val="111827"/>
          <w:sz w:val="22"/>
        </w:rPr>
        <w:t>Recommendation:</w:t>
      </w:r>
      <w:r>
        <w:rPr>
          <w:rFonts w:ascii="Calibri" w:hAnsi="Calibri"/>
          <w:color w:val="111827"/>
          <w:sz w:val="22"/>
        </w:rPr>
        <w:t xml:space="preserve"> Submit the final executive summary as </w:t>
      </w:r>
      <w:r>
        <w:rPr>
          <w:rFonts w:ascii="Calibri" w:hAnsi="Calibri"/>
          <w:b/>
          <w:color w:val="111827"/>
          <w:sz w:val="22"/>
        </w:rPr>
        <w:t>one accessible PDF page</w:t>
      </w:r>
      <w:r>
        <w:rPr>
          <w:rFonts w:ascii="Calibri" w:hAnsi="Calibri"/>
          <w:color w:val="111827"/>
          <w:sz w:val="22"/>
        </w:rPr>
        <w:t>. Retain the editable DOCX source and be prepared to provide it if the instructor requests an accessibility or layout correction.</w:t>
      </w:r>
    </w:p>
    <w:p>
      <w:pPr>
        <w:spacing w:before="0" w:after="120" w:line="264" w:lineRule="auto"/>
      </w:pPr>
      <w:r>
        <w:rPr>
          <w:rFonts w:ascii="Calibri" w:hAnsi="Calibri"/>
          <w:color w:val="111827"/>
          <w:sz w:val="22"/>
        </w:rPr>
        <w:t>PDF is the standard accepted final format because it preserves the one-page layout, fonts, table geometry, and print result across devices. DOCX should be accepted only when an approved accommodation, accessibility need, or instructor-requested remediation makes the editable source necessary. Requiring both files in the normal workflow would create a third uploaded file and conflict with the project's exactly-two-final-communication-files rule.</w:t>
      </w:r>
    </w:p>
    <w:p>
      <w:pPr>
        <w:spacing w:before="0" w:after="120" w:line="264" w:lineRule="auto"/>
      </w:pPr>
      <w:r>
        <w:rPr>
          <w:rFonts w:ascii="Calibri" w:hAnsi="Calibri"/>
          <w:color w:val="111827"/>
          <w:sz w:val="22"/>
        </w:rPr>
        <w:t>Use this file name, replacing the bracketed text and removing spaces:</w:t>
      </w:r>
    </w:p>
    <w:p>
      <w:pPr>
        <w:spacing w:before="0" w:after="120" w:line="264" w:lineRule="auto"/>
      </w:pPr>
      <w:r>
        <w:rPr>
          <w:rFonts w:ascii="Courier New" w:hAnsi="Courier New"/>
          <w:color w:val="0A2540"/>
          <w:sz w:val="21"/>
        </w:rPr>
        <w:t>BUS311_[LastName]_[Ticker]_ExecutiveSummary.pdf</w:t>
      </w:r>
    </w:p>
    <w:p>
      <w:pPr>
        <w:spacing w:before="0" w:after="120" w:line="264" w:lineRule="auto"/>
      </w:pPr>
      <w:r>
        <w:rPr>
          <w:rFonts w:ascii="Calibri" w:hAnsi="Calibri"/>
          <w:color w:val="111827"/>
          <w:sz w:val="22"/>
        </w:rPr>
        <w:t>Before submitting, open the saved PDF—not only the DOCX—and confirm that it is one U.S. Letter page at 100% scale with no clipped, hidden, or unexpectedly reflowed text.</w:t>
      </w:r>
    </w:p>
    <w:p>
      <w:pPr>
        <w:pStyle w:val="Heading1"/>
      </w:pPr>
      <w:r>
        <w:rPr>
          <w:rFonts w:ascii="Calibri" w:hAnsi="Calibri"/>
          <w:color w:val="175FA9"/>
          <w:sz w:val="32"/>
        </w:rPr>
        <w:t>One-page design standard</w:t>
      </w:r>
    </w:p>
    <w:p>
      <w:pPr>
        <w:spacing w:before="0" w:after="80" w:line="264" w:lineRule="auto"/>
        <w:ind w:left="720" w:hanging="360"/>
        <w:numPr>
          <w:ilvl w:val="0"/>
          <w:numId w:val="10"/>
        </w:numPr>
      </w:pPr>
      <w:r>
        <w:rPr>
          <w:rFonts w:ascii="Calibri" w:hAnsi="Calibri"/>
          <w:color w:val="111827"/>
          <w:sz w:val="22"/>
        </w:rPr>
        <w:t>U.S. Letter, portrait, one page, normal print settings, and 100% scale.</w:t>
      </w:r>
    </w:p>
    <w:p>
      <w:pPr>
        <w:spacing w:before="0" w:after="80" w:line="264" w:lineRule="auto"/>
        <w:ind w:left="720" w:hanging="360"/>
        <w:numPr>
          <w:ilvl w:val="0"/>
          <w:numId w:val="10"/>
        </w:numPr>
      </w:pPr>
      <w:r>
        <w:rPr>
          <w:rFonts w:ascii="Calibri" w:hAnsi="Calibri"/>
          <w:color w:val="111827"/>
          <w:sz w:val="22"/>
        </w:rPr>
        <w:t>Use the provided template or an equivalent structure approved by the instructor.</w:t>
      </w:r>
    </w:p>
    <w:p>
      <w:pPr>
        <w:spacing w:before="0" w:after="80" w:line="264" w:lineRule="auto"/>
        <w:ind w:left="720" w:hanging="360"/>
        <w:numPr>
          <w:ilvl w:val="0"/>
          <w:numId w:val="10"/>
        </w:numPr>
      </w:pPr>
      <w:r>
        <w:rPr>
          <w:rFonts w:ascii="Calibri" w:hAnsi="Calibri"/>
          <w:color w:val="111827"/>
          <w:sz w:val="22"/>
        </w:rPr>
        <w:t>Use a readable professional typeface such as Aptos, Calibri, or Arial.</w:t>
      </w:r>
    </w:p>
    <w:p>
      <w:pPr>
        <w:spacing w:before="0" w:after="80" w:line="264" w:lineRule="auto"/>
        <w:ind w:left="720" w:hanging="360"/>
        <w:numPr>
          <w:ilvl w:val="0"/>
          <w:numId w:val="10"/>
        </w:numPr>
      </w:pPr>
      <w:r>
        <w:rPr>
          <w:rFonts w:ascii="Calibri" w:hAnsi="Calibri"/>
          <w:color w:val="111827"/>
          <w:sz w:val="22"/>
        </w:rPr>
        <w:t>Keep body text at 10–11 points; source notes may be 8.5–9 points if still readable.</w:t>
      </w:r>
    </w:p>
    <w:p>
      <w:pPr>
        <w:spacing w:before="0" w:after="80" w:line="264" w:lineRule="auto"/>
        <w:ind w:left="720" w:hanging="360"/>
        <w:numPr>
          <w:ilvl w:val="0"/>
          <w:numId w:val="10"/>
        </w:numPr>
      </w:pPr>
      <w:r>
        <w:rPr>
          <w:rFonts w:ascii="Calibri" w:hAnsi="Calibri"/>
          <w:color w:val="111827"/>
          <w:sz w:val="22"/>
        </w:rPr>
        <w:t>Use real headings, short paragraphs, and meaningful labels. Do not rely on color alone.</w:t>
      </w:r>
    </w:p>
    <w:p>
      <w:pPr>
        <w:spacing w:before="0" w:after="80" w:line="264" w:lineRule="auto"/>
        <w:ind w:left="720" w:hanging="360"/>
        <w:numPr>
          <w:ilvl w:val="0"/>
          <w:numId w:val="10"/>
        </w:numPr>
      </w:pPr>
      <w:r>
        <w:rPr>
          <w:rFonts w:ascii="Calibri" w:hAnsi="Calibri"/>
          <w:color w:val="111827"/>
          <w:sz w:val="22"/>
        </w:rPr>
        <w:t>Aim for roughly 350–450 body words, plus compact source notes and the AI-use disclosure. This is a planning guide, not a substitute for the one-page and readability requirements.</w:t>
      </w:r>
    </w:p>
    <w:p>
      <w:pPr>
        <w:spacing w:before="0" w:after="80" w:line="264" w:lineRule="auto"/>
        <w:ind w:left="720" w:hanging="360"/>
        <w:numPr>
          <w:ilvl w:val="0"/>
          <w:numId w:val="10"/>
        </w:numPr>
      </w:pPr>
      <w:r>
        <w:rPr>
          <w:rFonts w:ascii="Calibri" w:hAnsi="Calibri"/>
          <w:color w:val="111827"/>
          <w:sz w:val="22"/>
        </w:rPr>
        <w:t>Do not add an executive-summary appendix. Analytical support belongs in the PPTX appendix or the previously assessed Excel model.</w:t>
      </w:r>
    </w:p>
    <w:p>
      <w:pPr>
        <w:spacing w:before="0" w:after="80" w:line="264" w:lineRule="auto"/>
        <w:ind w:left="720" w:hanging="360"/>
        <w:numPr>
          <w:ilvl w:val="0"/>
          <w:numId w:val="10"/>
        </w:numPr>
      </w:pPr>
      <w:r>
        <w:rPr>
          <w:rFonts w:ascii="Calibri" w:hAnsi="Calibri"/>
          <w:color w:val="111827"/>
          <w:sz w:val="22"/>
        </w:rPr>
        <w:t>Do not shrink the print scale, margins, or text to force an overlong draft onto one page. Revise for priority and remove repetition.</w:t>
      </w:r>
    </w:p>
    <w:p>
      <w:pPr>
        <w:pStyle w:val="Heading1"/>
      </w:pPr>
      <w:r>
        <w:rPr>
          <w:rFonts w:ascii="Calibri" w:hAnsi="Calibri"/>
          <w:color w:val="175FA9"/>
          <w:sz w:val="32"/>
        </w:rPr>
        <w:t>Required structure</w:t>
      </w:r>
    </w:p>
    <w:p>
      <w:pPr>
        <w:pStyle w:val="Heading2"/>
      </w:pPr>
      <w:r>
        <w:rPr>
          <w:rFonts w:ascii="Calibri" w:hAnsi="Calibri"/>
          <w:color w:val="175FA9"/>
          <w:sz w:val="26"/>
        </w:rPr>
        <w:t>1. Header and identification</w:t>
      </w:r>
    </w:p>
    <w:p>
      <w:pPr>
        <w:spacing w:before="0" w:after="120" w:line="264" w:lineRule="auto"/>
      </w:pPr>
      <w:r>
        <w:rPr>
          <w:rFonts w:ascii="Calibri" w:hAnsi="Calibri"/>
          <w:color w:val="111827"/>
          <w:sz w:val="22"/>
        </w:rPr>
        <w:t>Identify the company, ticker, student, date, and audience. Address the page to the selected company's CFO and Board.</w:t>
      </w:r>
    </w:p>
    <w:p>
      <w:pPr>
        <w:pStyle w:val="Heading2"/>
      </w:pPr>
      <w:r>
        <w:rPr>
          <w:rFonts w:ascii="Calibri" w:hAnsi="Calibri"/>
          <w:color w:val="175FA9"/>
          <w:sz w:val="26"/>
        </w:rPr>
        <w:t>2. Decision requested and recommendation</w:t>
      </w:r>
    </w:p>
    <w:p>
      <w:pPr>
        <w:spacing w:before="0" w:after="120" w:line="264" w:lineRule="auto"/>
      </w:pPr>
      <w:r>
        <w:rPr>
          <w:rFonts w:ascii="Calibri" w:hAnsi="Calibri"/>
          <w:color w:val="111827"/>
          <w:sz w:val="22"/>
        </w:rPr>
        <w:t>Open with the exact Board decision being requested and the action you recommend. The conclusion must not be left for the reader to infer.</w:t>
      </w:r>
    </w:p>
    <w:p>
      <w:pPr>
        <w:spacing w:before="0" w:after="120" w:line="264" w:lineRule="auto"/>
      </w:pPr>
      <w:r>
        <w:rPr>
          <w:rFonts w:ascii="Calibri" w:hAnsi="Calibri"/>
          <w:color w:val="111827"/>
          <w:sz w:val="22"/>
        </w:rPr>
        <w:t>Use one primary recommendation and two or three supporting actions. Do not replace the CFO decision with a stock rating.</w:t>
      </w:r>
    </w:p>
    <w:p>
      <w:pPr>
        <w:pStyle w:val="Heading2"/>
      </w:pPr>
      <w:r>
        <w:rPr>
          <w:rFonts w:ascii="Calibri" w:hAnsi="Calibri"/>
          <w:color w:val="175FA9"/>
          <w:sz w:val="26"/>
        </w:rPr>
        <w:t>3. Revenue engine and operating thesis</w:t>
      </w:r>
    </w:p>
    <w:p>
      <w:pPr>
        <w:spacing w:before="0" w:after="120" w:line="264" w:lineRule="auto"/>
      </w:pPr>
      <w:r>
        <w:rPr>
          <w:rFonts w:ascii="Calibri" w:hAnsi="Calibri"/>
          <w:color w:val="111827"/>
          <w:sz w:val="22"/>
        </w:rPr>
        <w:t>In a concise paragraph:</w:t>
      </w:r>
    </w:p>
    <w:p>
      <w:pPr>
        <w:spacing w:before="0" w:after="80" w:line="264" w:lineRule="auto"/>
        <w:ind w:left="720" w:hanging="360"/>
        <w:numPr>
          <w:ilvl w:val="0"/>
          <w:numId w:val="10"/>
        </w:numPr>
      </w:pPr>
      <w:r>
        <w:rPr>
          <w:rFonts w:ascii="Calibri" w:hAnsi="Calibri"/>
          <w:color w:val="111827"/>
          <w:sz w:val="22"/>
        </w:rPr>
        <w:t>Explain how the company generates revenue through the most decision-relevant products, services, segments, geographies, customers, channels, pricing model, or recurrence pattern.</w:t>
      </w:r>
    </w:p>
    <w:p>
      <w:pPr>
        <w:spacing w:before="0" w:after="80" w:line="264" w:lineRule="auto"/>
        <w:ind w:left="720" w:hanging="360"/>
        <w:numPr>
          <w:ilvl w:val="0"/>
          <w:numId w:val="10"/>
        </w:numPr>
      </w:pPr>
      <w:r>
        <w:rPr>
          <w:rFonts w:ascii="Calibri" w:hAnsi="Calibri"/>
          <w:color w:val="111827"/>
          <w:sz w:val="22"/>
        </w:rPr>
        <w:t>Identify the few operating drivers and leading indicators that matter most.</w:t>
      </w:r>
    </w:p>
    <w:p>
      <w:pPr>
        <w:spacing w:before="0" w:after="80" w:line="264" w:lineRule="auto"/>
        <w:ind w:left="720" w:hanging="360"/>
        <w:numPr>
          <w:ilvl w:val="0"/>
          <w:numId w:val="10"/>
        </w:numPr>
      </w:pPr>
      <w:r>
        <w:rPr>
          <w:rFonts w:ascii="Calibri" w:hAnsi="Calibri"/>
          <w:color w:val="111827"/>
          <w:sz w:val="22"/>
        </w:rPr>
        <w:t>State what the evidence implies for the approved CFO decision.</w:t>
      </w:r>
    </w:p>
    <w:p>
      <w:pPr>
        <w:spacing w:before="0" w:after="120" w:line="264" w:lineRule="auto"/>
      </w:pPr>
      <w:r>
        <w:rPr>
          <w:rFonts w:ascii="Calibri" w:hAnsi="Calibri"/>
          <w:color w:val="111827"/>
          <w:sz w:val="22"/>
        </w:rPr>
        <w:t>Do not repeat a company description from the 10-K. Synthesize the operating logic that changes the decision.</w:t>
      </w:r>
    </w:p>
    <w:p>
      <w:pPr>
        <w:pStyle w:val="Heading2"/>
      </w:pPr>
      <w:r>
        <w:rPr>
          <w:rFonts w:ascii="Calibri" w:hAnsi="Calibri"/>
          <w:color w:val="175FA9"/>
          <w:sz w:val="26"/>
        </w:rPr>
        <w:t>4. Testable revenue hypothesis and red-team revision</w:t>
      </w:r>
    </w:p>
    <w:p>
      <w:pPr>
        <w:spacing w:before="0" w:after="120" w:line="264" w:lineRule="auto"/>
      </w:pPr>
      <w:r>
        <w:rPr>
          <w:rFonts w:ascii="Calibri" w:hAnsi="Calibri"/>
          <w:color w:val="111827"/>
          <w:sz w:val="22"/>
        </w:rPr>
        <w:t>State the final testable revenue hypothesis: the operating mechanism, expected revenue or margin effect, relevant period, and evidence that would support or disprove it.</w:t>
      </w:r>
    </w:p>
    <w:p>
      <w:pPr>
        <w:spacing w:before="0" w:after="120" w:line="264" w:lineRule="auto"/>
      </w:pPr>
      <w:r>
        <w:rPr>
          <w:rFonts w:ascii="Calibri" w:hAnsi="Calibri"/>
          <w:color w:val="111827"/>
          <w:sz w:val="22"/>
        </w:rPr>
        <w:t>Then state what changed after red teaming. Identify the strongest challenge, what SEC, FactSet, Excel, or course evidence you checked, and whether you accepted, modified, or rejected the challenge. A well-defended decision not to revise is acceptable when the verification trail is strong.</w:t>
      </w:r>
    </w:p>
    <w:p>
      <w:pPr>
        <w:pStyle w:val="Heading2"/>
      </w:pPr>
      <w:r>
        <w:rPr>
          <w:rFonts w:ascii="Calibri" w:hAnsi="Calibri"/>
          <w:color w:val="175FA9"/>
          <w:sz w:val="26"/>
        </w:rPr>
        <w:t>5. Valuation and scenario conclusion</w:t>
      </w:r>
    </w:p>
    <w:p>
      <w:pPr>
        <w:spacing w:before="0" w:after="120" w:line="264" w:lineRule="auto"/>
      </w:pPr>
      <w:r>
        <w:rPr>
          <w:rFonts w:ascii="Calibri" w:hAnsi="Calibri"/>
          <w:color w:val="111827"/>
          <w:sz w:val="22"/>
        </w:rPr>
        <w:t>Communicate only the valuation or capital-budgeting conclusion needed for the Board decision:</w:t>
      </w:r>
    </w:p>
    <w:p>
      <w:pPr>
        <w:spacing w:before="0" w:after="80" w:line="264" w:lineRule="auto"/>
        <w:ind w:left="720" w:hanging="360"/>
        <w:numPr>
          <w:ilvl w:val="0"/>
          <w:numId w:val="10"/>
        </w:numPr>
      </w:pPr>
      <w:r>
        <w:rPr>
          <w:rFonts w:ascii="Calibri" w:hAnsi="Calibri"/>
          <w:color w:val="111827"/>
          <w:sz w:val="22"/>
        </w:rPr>
        <w:t>What differs across base, upside, and downside cases?</w:t>
      </w:r>
    </w:p>
    <w:p>
      <w:pPr>
        <w:spacing w:before="0" w:after="80" w:line="264" w:lineRule="auto"/>
        <w:ind w:left="720" w:hanging="360"/>
        <w:numPr>
          <w:ilvl w:val="0"/>
          <w:numId w:val="10"/>
        </w:numPr>
      </w:pPr>
      <w:r>
        <w:rPr>
          <w:rFonts w:ascii="Calibri" w:hAnsi="Calibri"/>
          <w:color w:val="111827"/>
          <w:sz w:val="22"/>
        </w:rPr>
        <w:t>Which operating assumptions drive the result?</w:t>
      </w:r>
    </w:p>
    <w:p>
      <w:pPr>
        <w:spacing w:before="0" w:after="80" w:line="264" w:lineRule="auto"/>
        <w:ind w:left="720" w:hanging="360"/>
        <w:numPr>
          <w:ilvl w:val="0"/>
          <w:numId w:val="10"/>
        </w:numPr>
      </w:pPr>
      <w:r>
        <w:rPr>
          <w:rFonts w:ascii="Calibri" w:hAnsi="Calibri"/>
          <w:color w:val="111827"/>
          <w:sz w:val="22"/>
        </w:rPr>
        <w:t>What limitation or uncertainty matters most?</w:t>
      </w:r>
    </w:p>
    <w:p>
      <w:pPr>
        <w:spacing w:before="0" w:after="80" w:line="264" w:lineRule="auto"/>
        <w:ind w:left="720" w:hanging="360"/>
        <w:numPr>
          <w:ilvl w:val="0"/>
          <w:numId w:val="10"/>
        </w:numPr>
      </w:pPr>
      <w:r>
        <w:rPr>
          <w:rFonts w:ascii="Calibri" w:hAnsi="Calibri"/>
          <w:color w:val="111827"/>
          <w:sz w:val="22"/>
        </w:rPr>
        <w:t>Under what scenario does the recommendation change?</w:t>
      </w:r>
    </w:p>
    <w:p>
      <w:pPr>
        <w:spacing w:before="0" w:after="120" w:line="264" w:lineRule="auto"/>
      </w:pPr>
      <w:r>
        <w:rPr>
          <w:rFonts w:ascii="Calibri" w:hAnsi="Calibri"/>
          <w:color w:val="111827"/>
          <w:sz w:val="22"/>
        </w:rPr>
        <w:t>Do not reproduce the model, narrate formulas, or report false precision. Every stated output must reconcile to the assessed Excel model.</w:t>
      </w:r>
    </w:p>
    <w:p>
      <w:pPr>
        <w:pStyle w:val="Heading2"/>
      </w:pPr>
      <w:r>
        <w:rPr>
          <w:rFonts w:ascii="Calibri" w:hAnsi="Calibri"/>
          <w:color w:val="175FA9"/>
          <w:sz w:val="26"/>
        </w:rPr>
        <w:t>6. Recommended actions and implementation</w:t>
      </w:r>
    </w:p>
    <w:p>
      <w:pPr>
        <w:spacing w:before="0" w:after="120" w:line="264" w:lineRule="auto"/>
      </w:pPr>
      <w:r>
        <w:rPr>
          <w:rFonts w:ascii="Calibri" w:hAnsi="Calibri"/>
          <w:color w:val="111827"/>
          <w:sz w:val="22"/>
        </w:rPr>
        <w:t>List two or three prioritized supporting actions. For each action, identify:</w:t>
      </w:r>
    </w:p>
    <w:p>
      <w:pPr>
        <w:spacing w:before="0" w:after="80" w:line="264" w:lineRule="auto"/>
        <w:ind w:left="720" w:hanging="360"/>
        <w:numPr>
          <w:ilvl w:val="0"/>
          <w:numId w:val="10"/>
        </w:numPr>
      </w:pPr>
      <w:r>
        <w:rPr>
          <w:rFonts w:ascii="Calibri" w:hAnsi="Calibri"/>
          <w:color w:val="111827"/>
          <w:sz w:val="22"/>
        </w:rPr>
        <w:t>The responsible executive, team, or function</w:t>
      </w:r>
    </w:p>
    <w:p>
      <w:pPr>
        <w:spacing w:before="0" w:after="80" w:line="264" w:lineRule="auto"/>
        <w:ind w:left="720" w:hanging="360"/>
        <w:numPr>
          <w:ilvl w:val="0"/>
          <w:numId w:val="10"/>
        </w:numPr>
      </w:pPr>
      <w:r>
        <w:rPr>
          <w:rFonts w:ascii="Calibri" w:hAnsi="Calibri"/>
          <w:color w:val="111827"/>
          <w:sz w:val="22"/>
        </w:rPr>
        <w:t>Timing or sequence</w:t>
      </w:r>
    </w:p>
    <w:p>
      <w:pPr>
        <w:spacing w:before="0" w:after="80" w:line="264" w:lineRule="auto"/>
        <w:ind w:left="720" w:hanging="360"/>
        <w:numPr>
          <w:ilvl w:val="0"/>
          <w:numId w:val="10"/>
        </w:numPr>
      </w:pPr>
      <w:r>
        <w:rPr>
          <w:rFonts w:ascii="Calibri" w:hAnsi="Calibri"/>
          <w:color w:val="111827"/>
          <w:sz w:val="22"/>
        </w:rPr>
        <w:t>A performance indicator</w:t>
      </w:r>
    </w:p>
    <w:p>
      <w:pPr>
        <w:spacing w:before="0" w:after="80" w:line="264" w:lineRule="auto"/>
        <w:ind w:left="720" w:hanging="360"/>
        <w:numPr>
          <w:ilvl w:val="0"/>
          <w:numId w:val="10"/>
        </w:numPr>
      </w:pPr>
      <w:r>
        <w:rPr>
          <w:rFonts w:ascii="Calibri" w:hAnsi="Calibri"/>
          <w:color w:val="111827"/>
          <w:sz w:val="22"/>
        </w:rPr>
        <w:t>A decision trigger or threshold that would cause management to accelerate, pause, revise, or stop</w:t>
      </w:r>
    </w:p>
    <w:p>
      <w:pPr>
        <w:spacing w:before="0" w:after="120" w:line="264" w:lineRule="auto"/>
      </w:pPr>
      <w:r>
        <w:rPr>
          <w:rFonts w:ascii="Calibri" w:hAnsi="Calibri"/>
          <w:color w:val="111827"/>
          <w:sz w:val="22"/>
        </w:rPr>
        <w:t>Actions must be operationally credible and connected to the revenue and valuation evidence.</w:t>
      </w:r>
    </w:p>
    <w:p>
      <w:pPr>
        <w:pStyle w:val="Heading2"/>
      </w:pPr>
      <w:r>
        <w:rPr>
          <w:rFonts w:ascii="Calibri" w:hAnsi="Calibri"/>
          <w:color w:val="175FA9"/>
          <w:sz w:val="26"/>
        </w:rPr>
        <w:t>7. Principal risks, tradeoffs, and mitigations</w:t>
      </w:r>
    </w:p>
    <w:p>
      <w:pPr>
        <w:spacing w:before="0" w:after="120" w:line="264" w:lineRule="auto"/>
      </w:pPr>
      <w:r>
        <w:rPr>
          <w:rFonts w:ascii="Calibri" w:hAnsi="Calibri"/>
          <w:color w:val="111827"/>
          <w:sz w:val="22"/>
        </w:rPr>
        <w:t>Prioritize the risks that could change the recommendation or prevent execution. Pair each risk with the relevant tradeoff and a practical mitigation. Avoid generic lists such as "competition," "inflation," or "execution risk" without a company-specific mechanism or decision consequence.</w:t>
      </w:r>
    </w:p>
    <w:p>
      <w:pPr>
        <w:pStyle w:val="Heading2"/>
      </w:pPr>
      <w:r>
        <w:rPr>
          <w:rFonts w:ascii="Calibri" w:hAnsi="Calibri"/>
          <w:color w:val="175FA9"/>
          <w:sz w:val="26"/>
        </w:rPr>
        <w:t>8. Compact source notes</w:t>
      </w:r>
    </w:p>
    <w:p>
      <w:pPr>
        <w:spacing w:before="0" w:after="120" w:line="264" w:lineRule="auto"/>
      </w:pPr>
      <w:r>
        <w:rPr>
          <w:rFonts w:ascii="Calibri" w:hAnsi="Calibri"/>
          <w:color w:val="111827"/>
          <w:sz w:val="22"/>
        </w:rPr>
        <w:t>Give every material figure and claim a compact note. Use source IDs in the body when useful, then define the IDs at the bottom of the page.</w:t>
      </w:r>
    </w:p>
    <w:p>
      <w:pPr>
        <w:spacing w:before="0" w:after="120" w:line="264" w:lineRule="auto"/>
      </w:pPr>
      <w:r>
        <w:rPr>
          <w:rFonts w:ascii="Calibri" w:hAnsi="Calibri"/>
          <w:color w:val="111827"/>
          <w:sz w:val="22"/>
        </w:rPr>
        <w:t>SEC note pattern:</w:t>
      </w:r>
    </w:p>
    <w:p>
      <w:pPr>
        <w:spacing w:before="0" w:after="120" w:line="264" w:lineRule="auto"/>
      </w:pPr>
      <w:r>
        <w:rPr>
          <w:rFonts w:ascii="Courier New" w:hAnsi="Courier New"/>
          <w:color w:val="0A2540"/>
          <w:sz w:val="21"/>
        </w:rPr>
        <w:t>S1 — [Company], Form 10-K, filed [date], FY [year], Item [x] / p. [x], [metric or claim], [units/definition].</w:t>
      </w:r>
    </w:p>
    <w:p>
      <w:pPr>
        <w:spacing w:before="0" w:after="120" w:line="264" w:lineRule="auto"/>
      </w:pPr>
      <w:r>
        <w:rPr>
          <w:rFonts w:ascii="Calibri" w:hAnsi="Calibri"/>
          <w:color w:val="111827"/>
          <w:sz w:val="22"/>
        </w:rPr>
        <w:t>FactSet note pattern:</w:t>
      </w:r>
    </w:p>
    <w:p>
      <w:pPr>
        <w:spacing w:before="0" w:after="120" w:line="264" w:lineRule="auto"/>
      </w:pPr>
      <w:r>
        <w:rPr>
          <w:rFonts w:ascii="Courier New" w:hAnsi="Courier New"/>
          <w:color w:val="0A2540"/>
          <w:sz w:val="21"/>
        </w:rPr>
        <w:t>F1 — FactSet, [report/screen/metric], data through [date], accessed [date], [units/definition], [peer group if used].</w:t>
      </w:r>
    </w:p>
    <w:p>
      <w:pPr>
        <w:spacing w:before="0" w:after="120" w:line="264" w:lineRule="auto"/>
      </w:pPr>
      <w:r>
        <w:rPr>
          <w:rFonts w:ascii="Calibri" w:hAnsi="Calibri"/>
          <w:color w:val="111827"/>
          <w:sz w:val="22"/>
        </w:rPr>
        <w:t>Model note pattern:</w:t>
      </w:r>
    </w:p>
    <w:p>
      <w:pPr>
        <w:spacing w:before="0" w:after="120" w:line="264" w:lineRule="auto"/>
      </w:pPr>
      <w:r>
        <w:rPr>
          <w:rFonts w:ascii="Courier New" w:hAnsi="Courier New"/>
          <w:color w:val="0A2540"/>
          <w:sz w:val="21"/>
        </w:rPr>
        <w:t>M1 — BUS311 valuation model v[date], [base/upside/downside output or sensitivity], reconciled to [named source inputs].</w:t>
      </w:r>
    </w:p>
    <w:p>
      <w:pPr>
        <w:spacing w:before="0" w:after="120" w:line="264" w:lineRule="auto"/>
      </w:pPr>
      <w:r>
        <w:rPr>
          <w:rFonts w:ascii="Calibri" w:hAnsi="Calibri"/>
          <w:color w:val="111827"/>
          <w:sz w:val="22"/>
        </w:rPr>
        <w:t>Do not cite AI as a financial source. Do not paste raw licensed FactSet exports or screenshots into a public AI tool.</w:t>
      </w:r>
    </w:p>
    <w:p>
      <w:pPr>
        <w:pStyle w:val="Heading2"/>
      </w:pPr>
      <w:r>
        <w:rPr>
          <w:rFonts w:ascii="Calibri" w:hAnsi="Calibri"/>
          <w:color w:val="175FA9"/>
          <w:sz w:val="26"/>
        </w:rPr>
        <w:t>9. Final AI-use disclosure</w:t>
      </w:r>
    </w:p>
    <w:p>
      <w:pPr>
        <w:spacing w:before="0" w:after="120" w:line="264" w:lineRule="auto"/>
      </w:pPr>
      <w:r>
        <w:rPr>
          <w:rFonts w:ascii="Calibri" w:hAnsi="Calibri"/>
          <w:color w:val="111827"/>
          <w:sz w:val="22"/>
        </w:rPr>
        <w:t>Use one or two sentences. Name the tool, bounded purpose, output retained, independent verification, and where your judgment overruled or limited AI.</w:t>
      </w:r>
    </w:p>
    <w:p>
      <w:pPr>
        <w:spacing w:before="0" w:after="120" w:line="264" w:lineRule="auto"/>
      </w:pPr>
      <w:r>
        <w:rPr>
          <w:rFonts w:ascii="Calibri" w:hAnsi="Calibri"/>
          <w:color w:val="111827"/>
          <w:sz w:val="22"/>
        </w:rPr>
        <w:t>Disclosure pattern:</w:t>
      </w:r>
    </w:p>
    <w:p>
      <w:pPr>
        <w:spacing w:before="0" w:after="120" w:line="264" w:lineRule="auto"/>
      </w:pPr>
      <w:r>
        <w:rPr>
          <w:rFonts w:ascii="Courier New" w:hAnsi="Courier New"/>
          <w:color w:val="0A2540"/>
          <w:sz w:val="21"/>
        </w:rPr>
        <w:t>AI use — I used [tool] to [challenge/rehearse/audit] [specific task]. I retained [specific challenge] only after checking [SEC/FactSet/Excel/course evidence] and [accepted/modified/rejected] it because [brief rationale]. No raw FactSet export, screenshot, nonpublic information, personal information, or instructor-only material was uploaded.</w:t>
      </w:r>
    </w:p>
    <w:p>
      <w:pPr>
        <w:spacing w:before="0" w:after="120" w:line="264" w:lineRule="auto"/>
      </w:pPr>
      <w:r>
        <w:rPr>
          <w:rFonts w:ascii="Calibri" w:hAnsi="Calibri"/>
          <w:color w:val="111827"/>
          <w:sz w:val="22"/>
        </w:rPr>
        <w:t>If you did not use an AI tool, identify the instructor-provided equivalent challenge process and the evidence you used to test your judgment.</w:t>
      </w:r>
    </w:p>
    <w:p>
      <w:pPr>
        <w:pStyle w:val="Heading1"/>
      </w:pPr>
      <w:r>
        <w:rPr>
          <w:rFonts w:ascii="Calibri" w:hAnsi="Calibri"/>
          <w:color w:val="175FA9"/>
          <w:sz w:val="32"/>
        </w:rPr>
        <w:t>Efficient drafting workflow</w:t>
      </w:r>
    </w:p>
    <w:p>
      <w:pPr>
        <w:spacing w:before="0" w:after="100" w:line="264" w:lineRule="auto"/>
        <w:numPr>
          <w:ilvl w:val="0"/>
          <w:numId w:val="12"/>
        </w:numPr>
      </w:pPr>
      <w:r>
        <w:rPr>
          <w:rFonts w:ascii="Calibri" w:hAnsi="Calibri"/>
          <w:color w:val="111827"/>
          <w:sz w:val="22"/>
        </w:rPr>
        <w:t>Write the decision requested and recommendation in one or two sentences.</w:t>
      </w:r>
    </w:p>
    <w:p>
      <w:pPr>
        <w:spacing w:before="0" w:after="100" w:line="264" w:lineRule="auto"/>
        <w:numPr>
          <w:ilvl w:val="0"/>
          <w:numId w:val="12"/>
        </w:numPr>
      </w:pPr>
      <w:r>
        <w:rPr>
          <w:rFonts w:ascii="Calibri" w:hAnsi="Calibri"/>
          <w:color w:val="111827"/>
          <w:sz w:val="22"/>
        </w:rPr>
        <w:t>Select only the revenue and operating evidence that changes that decision.</w:t>
      </w:r>
    </w:p>
    <w:p>
      <w:pPr>
        <w:spacing w:before="0" w:after="100" w:line="264" w:lineRule="auto"/>
        <w:numPr>
          <w:ilvl w:val="0"/>
          <w:numId w:val="12"/>
        </w:numPr>
      </w:pPr>
      <w:r>
        <w:rPr>
          <w:rFonts w:ascii="Calibri" w:hAnsi="Calibri"/>
          <w:color w:val="111827"/>
          <w:sz w:val="22"/>
        </w:rPr>
        <w:t>State the final hypothesis and the verified red-team change.</w:t>
      </w:r>
    </w:p>
    <w:p>
      <w:pPr>
        <w:spacing w:before="0" w:after="100" w:line="264" w:lineRule="auto"/>
        <w:numPr>
          <w:ilvl w:val="0"/>
          <w:numId w:val="12"/>
        </w:numPr>
      </w:pPr>
      <w:r>
        <w:rPr>
          <w:rFonts w:ascii="Calibri" w:hAnsi="Calibri"/>
          <w:color w:val="111827"/>
          <w:sz w:val="22"/>
        </w:rPr>
        <w:t>Reduce the valuation section to the scenario conclusion, change conditions, and principal limitation.</w:t>
      </w:r>
    </w:p>
    <w:p>
      <w:pPr>
        <w:spacing w:before="0" w:after="100" w:line="264" w:lineRule="auto"/>
        <w:numPr>
          <w:ilvl w:val="0"/>
          <w:numId w:val="12"/>
        </w:numPr>
      </w:pPr>
      <w:r>
        <w:rPr>
          <w:rFonts w:ascii="Calibri" w:hAnsi="Calibri"/>
          <w:color w:val="111827"/>
          <w:sz w:val="22"/>
        </w:rPr>
        <w:t>Build two or three supporting actions with owner, timing, indicator, and trigger.</w:t>
      </w:r>
    </w:p>
    <w:p>
      <w:pPr>
        <w:spacing w:before="0" w:after="100" w:line="264" w:lineRule="auto"/>
        <w:numPr>
          <w:ilvl w:val="0"/>
          <w:numId w:val="12"/>
        </w:numPr>
      </w:pPr>
      <w:r>
        <w:rPr>
          <w:rFonts w:ascii="Calibri" w:hAnsi="Calibri"/>
          <w:color w:val="111827"/>
          <w:sz w:val="22"/>
        </w:rPr>
        <w:t>Pair the principal risks and tradeoffs with mitigations.</w:t>
      </w:r>
    </w:p>
    <w:p>
      <w:pPr>
        <w:spacing w:before="0" w:after="100" w:line="264" w:lineRule="auto"/>
        <w:numPr>
          <w:ilvl w:val="0"/>
          <w:numId w:val="12"/>
        </w:numPr>
      </w:pPr>
      <w:r>
        <w:rPr>
          <w:rFonts w:ascii="Calibri" w:hAnsi="Calibri"/>
          <w:color w:val="111827"/>
          <w:sz w:val="22"/>
        </w:rPr>
        <w:t>Add compact source IDs and the final AI-use disclosure.</w:t>
      </w:r>
    </w:p>
    <w:p>
      <w:pPr>
        <w:spacing w:before="0" w:after="100" w:line="264" w:lineRule="auto"/>
        <w:numPr>
          <w:ilvl w:val="0"/>
          <w:numId w:val="12"/>
        </w:numPr>
      </w:pPr>
      <w:r>
        <w:rPr>
          <w:rFonts w:ascii="Calibri" w:hAnsi="Calibri"/>
          <w:color w:val="111827"/>
          <w:sz w:val="22"/>
        </w:rPr>
        <w:t>Remove duplicated evidence, background, model mechanics, and generic language.</w:t>
      </w:r>
    </w:p>
    <w:p>
      <w:pPr>
        <w:spacing w:before="0" w:after="100" w:line="264" w:lineRule="auto"/>
        <w:numPr>
          <w:ilvl w:val="0"/>
          <w:numId w:val="12"/>
        </w:numPr>
      </w:pPr>
      <w:r>
        <w:rPr>
          <w:rFonts w:ascii="Calibri" w:hAnsi="Calibri"/>
          <w:color w:val="111827"/>
          <w:sz w:val="22"/>
        </w:rPr>
        <w:t>Run the accessibility check, export to PDF, and inspect the saved PDF at 100% scale.</w:t>
      </w:r>
    </w:p>
    <w:p>
      <w:pPr>
        <w:pStyle w:val="Heading1"/>
      </w:pPr>
      <w:r>
        <w:rPr>
          <w:rFonts w:ascii="Calibri" w:hAnsi="Calibri"/>
          <w:color w:val="175FA9"/>
          <w:sz w:val="32"/>
        </w:rPr>
        <w:t>Sanitized example</w:t>
      </w:r>
    </w:p>
    <w:p>
      <w:pPr>
        <w:spacing w:before="0" w:after="120" w:line="264" w:lineRule="auto"/>
      </w:pPr>
      <w:r>
        <w:rPr>
          <w:rFonts w:ascii="Calibri" w:hAnsi="Calibri"/>
          <w:color w:val="111827"/>
          <w:sz w:val="22"/>
        </w:rPr>
        <w:t xml:space="preserve">The companion sanitized example is a </w:t>
      </w:r>
      <w:r>
        <w:rPr>
          <w:rFonts w:ascii="Calibri" w:hAnsi="Calibri"/>
          <w:b/>
          <w:color w:val="111827"/>
          <w:sz w:val="22"/>
        </w:rPr>
        <w:t>writing and decision-logic pattern</w:t>
      </w:r>
      <w:r>
        <w:rPr>
          <w:rFonts w:ascii="Calibri" w:hAnsi="Calibri"/>
          <w:color w:val="111827"/>
          <w:sz w:val="22"/>
        </w:rPr>
        <w:t>, not a company conclusion. Company-specific names, facts, figures, dates, and source locations are intentionally masked with brackets. Do not copy the recommendation or placeholders. Replace every bracketed item with independently verified evidence from your approved company and assessed model.</w:t>
      </w:r>
    </w:p>
    <w:p>
      <w:pPr>
        <w:pStyle w:val="Heading1"/>
      </w:pPr>
      <w:r>
        <w:rPr>
          <w:rFonts w:ascii="Calibri" w:hAnsi="Calibri"/>
          <w:color w:val="175FA9"/>
          <w:sz w:val="32"/>
        </w:rPr>
        <w:t>Accessibility checklist</w:t>
      </w:r>
    </w:p>
    <w:p>
      <w:pPr>
        <w:spacing w:before="0" w:after="120" w:line="264" w:lineRule="auto"/>
      </w:pPr>
      <w:r>
        <w:rPr>
          <w:rFonts w:ascii="Calibri" w:hAnsi="Calibri"/>
          <w:color w:val="111827"/>
          <w:sz w:val="22"/>
        </w:rPr>
        <w:t>Before export, confirm every item:</w:t>
      </w:r>
    </w:p>
    <w:p>
      <w:pPr>
        <w:spacing w:before="0" w:after="80" w:line="264" w:lineRule="auto"/>
        <w:ind w:left="720" w:hanging="360"/>
      </w:pPr>
      <w:r>
        <w:rPr>
          <w:rFonts w:ascii="Calibri" w:hAnsi="Calibri"/>
          <w:b/>
          <w:color w:val="0A2540"/>
          <w:sz w:val="22"/>
        </w:rPr>
        <w:t xml:space="preserve">☐ </w:t>
      </w:r>
      <w:r>
        <w:rPr>
          <w:rFonts w:ascii="Calibri" w:hAnsi="Calibri"/>
          <w:color w:val="111827"/>
          <w:sz w:val="22"/>
        </w:rPr>
        <w:t>The file is one U.S. Letter page in portrait orientation at 100% print scale.</w:t>
      </w:r>
    </w:p>
    <w:p>
      <w:pPr>
        <w:spacing w:before="0" w:after="80" w:line="264" w:lineRule="auto"/>
        <w:ind w:left="720" w:hanging="360"/>
      </w:pPr>
      <w:r>
        <w:rPr>
          <w:rFonts w:ascii="Calibri" w:hAnsi="Calibri"/>
          <w:b/>
          <w:color w:val="0A2540"/>
          <w:sz w:val="22"/>
        </w:rPr>
        <w:t xml:space="preserve">☐ </w:t>
      </w:r>
      <w:r>
        <w:rPr>
          <w:rFonts w:ascii="Calibri" w:hAnsi="Calibri"/>
          <w:color w:val="111827"/>
          <w:sz w:val="22"/>
        </w:rPr>
        <w:t>Body text is at least 10 points; source notes are at least 8.5 points and remain readable.</w:t>
      </w:r>
    </w:p>
    <w:p>
      <w:pPr>
        <w:spacing w:before="0" w:after="80" w:line="264" w:lineRule="auto"/>
        <w:ind w:left="720" w:hanging="360"/>
      </w:pPr>
      <w:r>
        <w:rPr>
          <w:rFonts w:ascii="Calibri" w:hAnsi="Calibri"/>
          <w:b/>
          <w:color w:val="0A2540"/>
          <w:sz w:val="22"/>
        </w:rPr>
        <w:t xml:space="preserve">☐ </w:t>
      </w:r>
      <w:r>
        <w:rPr>
          <w:rFonts w:ascii="Calibri" w:hAnsi="Calibri"/>
          <w:color w:val="111827"/>
          <w:sz w:val="22"/>
        </w:rPr>
        <w:t>Headings follow a logical hierarchy and describe the content that follows.</w:t>
      </w:r>
    </w:p>
    <w:p>
      <w:pPr>
        <w:spacing w:before="0" w:after="80" w:line="264" w:lineRule="auto"/>
        <w:ind w:left="720" w:hanging="360"/>
      </w:pPr>
      <w:r>
        <w:rPr>
          <w:rFonts w:ascii="Calibri" w:hAnsi="Calibri"/>
          <w:b/>
          <w:color w:val="0A2540"/>
          <w:sz w:val="22"/>
        </w:rPr>
        <w:t xml:space="preserve">☐ </w:t>
      </w:r>
      <w:r>
        <w:rPr>
          <w:rFonts w:ascii="Calibri" w:hAnsi="Calibri"/>
          <w:color w:val="111827"/>
          <w:sz w:val="22"/>
        </w:rPr>
        <w:t>The decision and recommendation are stated in text, not communicated only by placement, color, or emphasis.</w:t>
      </w:r>
    </w:p>
    <w:p>
      <w:pPr>
        <w:spacing w:before="0" w:after="80" w:line="264" w:lineRule="auto"/>
        <w:ind w:left="720" w:hanging="360"/>
      </w:pPr>
      <w:r>
        <w:rPr>
          <w:rFonts w:ascii="Calibri" w:hAnsi="Calibri"/>
          <w:b/>
          <w:color w:val="0A2540"/>
          <w:sz w:val="22"/>
        </w:rPr>
        <w:t xml:space="preserve">☐ </w:t>
      </w:r>
      <w:r>
        <w:rPr>
          <w:rFonts w:ascii="Calibri" w:hAnsi="Calibri"/>
          <w:color w:val="111827"/>
          <w:sz w:val="22"/>
        </w:rPr>
        <w:t>Text and background colors have sufficient contrast.</w:t>
      </w:r>
    </w:p>
    <w:p>
      <w:pPr>
        <w:spacing w:before="0" w:after="80" w:line="264" w:lineRule="auto"/>
        <w:ind w:left="720" w:hanging="360"/>
      </w:pPr>
      <w:r>
        <w:rPr>
          <w:rFonts w:ascii="Calibri" w:hAnsi="Calibri"/>
          <w:b/>
          <w:color w:val="0A2540"/>
          <w:sz w:val="22"/>
        </w:rPr>
        <w:t xml:space="preserve">☐ </w:t>
      </w:r>
      <w:r>
        <w:rPr>
          <w:rFonts w:ascii="Calibri" w:hAnsi="Calibri"/>
          <w:color w:val="111827"/>
          <w:sz w:val="22"/>
        </w:rPr>
        <w:t>Color is not the only way status, priority, risk, or scenario meaning is communicated.</w:t>
      </w:r>
    </w:p>
    <w:p>
      <w:pPr>
        <w:spacing w:before="0" w:after="80" w:line="264" w:lineRule="auto"/>
        <w:ind w:left="720" w:hanging="360"/>
      </w:pPr>
      <w:r>
        <w:rPr>
          <w:rFonts w:ascii="Calibri" w:hAnsi="Calibri"/>
          <w:b/>
          <w:color w:val="0A2540"/>
          <w:sz w:val="22"/>
        </w:rPr>
        <w:t xml:space="preserve">☐ </w:t>
      </w:r>
      <w:r>
        <w:rPr>
          <w:rFonts w:ascii="Calibri" w:hAnsi="Calibri"/>
          <w:color w:val="111827"/>
          <w:sz w:val="22"/>
        </w:rPr>
        <w:t>The implementation table has a marked header row and a simple left-to-right reading order.</w:t>
      </w:r>
    </w:p>
    <w:p>
      <w:pPr>
        <w:spacing w:before="0" w:after="80" w:line="264" w:lineRule="auto"/>
        <w:ind w:left="720" w:hanging="360"/>
      </w:pPr>
      <w:r>
        <w:rPr>
          <w:rFonts w:ascii="Calibri" w:hAnsi="Calibri"/>
          <w:b/>
          <w:color w:val="0A2540"/>
          <w:sz w:val="22"/>
        </w:rPr>
        <w:t xml:space="preserve">☐ </w:t>
      </w:r>
      <w:r>
        <w:rPr>
          <w:rFonts w:ascii="Calibri" w:hAnsi="Calibri"/>
          <w:color w:val="111827"/>
          <w:sz w:val="22"/>
        </w:rPr>
        <w:t>Acronyms, units, periods, and non-obvious metric definitions are explained.</w:t>
      </w:r>
    </w:p>
    <w:p>
      <w:pPr>
        <w:spacing w:before="0" w:after="80" w:line="264" w:lineRule="auto"/>
        <w:ind w:left="720" w:hanging="360"/>
      </w:pPr>
      <w:r>
        <w:rPr>
          <w:rFonts w:ascii="Calibri" w:hAnsi="Calibri"/>
          <w:b/>
          <w:color w:val="0A2540"/>
          <w:sz w:val="22"/>
        </w:rPr>
        <w:t xml:space="preserve">☐ </w:t>
      </w:r>
      <w:r>
        <w:rPr>
          <w:rFonts w:ascii="Calibri" w:hAnsi="Calibri"/>
          <w:color w:val="111827"/>
          <w:sz w:val="22"/>
        </w:rPr>
        <w:t>Links, if included, use descriptive text rather than a raw URL when space allows.</w:t>
      </w:r>
    </w:p>
    <w:p>
      <w:pPr>
        <w:spacing w:before="0" w:after="80" w:line="264" w:lineRule="auto"/>
        <w:ind w:left="720" w:hanging="360"/>
      </w:pPr>
      <w:r>
        <w:rPr>
          <w:rFonts w:ascii="Calibri" w:hAnsi="Calibri"/>
          <w:b/>
          <w:color w:val="0A2540"/>
          <w:sz w:val="22"/>
        </w:rPr>
        <w:t xml:space="preserve">☐ </w:t>
      </w:r>
      <w:r>
        <w:rPr>
          <w:rFonts w:ascii="Calibri" w:hAnsi="Calibri"/>
          <w:color w:val="111827"/>
          <w:sz w:val="22"/>
        </w:rPr>
        <w:t>Source notes are legible and identify SEC, FactSet, model, and other evidence with dates and definitions.</w:t>
      </w:r>
    </w:p>
    <w:p>
      <w:pPr>
        <w:spacing w:before="0" w:after="80" w:line="264" w:lineRule="auto"/>
        <w:ind w:left="720" w:hanging="360"/>
      </w:pPr>
      <w:r>
        <w:rPr>
          <w:rFonts w:ascii="Calibri" w:hAnsi="Calibri"/>
          <w:b/>
          <w:color w:val="0A2540"/>
          <w:sz w:val="22"/>
        </w:rPr>
        <w:t xml:space="preserve">☐ </w:t>
      </w:r>
      <w:r>
        <w:rPr>
          <w:rFonts w:ascii="Calibri" w:hAnsi="Calibri"/>
          <w:color w:val="111827"/>
          <w:sz w:val="22"/>
        </w:rPr>
        <w:t>Any meaningful non-text visual has alternative text or an equivalent text explanation. Decorative elements are marked decorative.</w:t>
      </w:r>
    </w:p>
    <w:p>
      <w:pPr>
        <w:spacing w:before="0" w:after="80" w:line="264" w:lineRule="auto"/>
        <w:ind w:left="720" w:hanging="360"/>
      </w:pPr>
      <w:r>
        <w:rPr>
          <w:rFonts w:ascii="Calibri" w:hAnsi="Calibri"/>
          <w:b/>
          <w:color w:val="0A2540"/>
          <w:sz w:val="22"/>
        </w:rPr>
        <w:t xml:space="preserve">☐ </w:t>
      </w:r>
      <w:r>
        <w:rPr>
          <w:rFonts w:ascii="Calibri" w:hAnsi="Calibri"/>
          <w:color w:val="111827"/>
          <w:sz w:val="22"/>
        </w:rPr>
        <w:t>Microsoft Word's Accessibility Checker issues have been corrected or explained.</w:t>
      </w:r>
    </w:p>
    <w:p>
      <w:pPr>
        <w:spacing w:before="0" w:after="80" w:line="264" w:lineRule="auto"/>
        <w:ind w:left="720" w:hanging="360"/>
      </w:pPr>
      <w:r>
        <w:rPr>
          <w:rFonts w:ascii="Calibri" w:hAnsi="Calibri"/>
          <w:b/>
          <w:color w:val="0A2540"/>
          <w:sz w:val="22"/>
        </w:rPr>
        <w:t xml:space="preserve">☐ </w:t>
      </w:r>
      <w:r>
        <w:rPr>
          <w:rFonts w:ascii="Calibri" w:hAnsi="Calibri"/>
          <w:color w:val="111827"/>
          <w:sz w:val="22"/>
        </w:rPr>
        <w:t>The exported PDF contains searchable text and has been checked for logical reading order when the available software supports that check.</w:t>
      </w:r>
    </w:p>
    <w:p>
      <w:pPr>
        <w:spacing w:before="0" w:after="80" w:line="264" w:lineRule="auto"/>
        <w:ind w:left="720" w:hanging="360"/>
      </w:pPr>
      <w:r>
        <w:rPr>
          <w:rFonts w:ascii="Calibri" w:hAnsi="Calibri"/>
          <w:b/>
          <w:color w:val="0A2540"/>
          <w:sz w:val="22"/>
        </w:rPr>
        <w:t xml:space="preserve">☐ </w:t>
      </w:r>
      <w:r>
        <w:rPr>
          <w:rFonts w:ascii="Calibri" w:hAnsi="Calibri"/>
          <w:color w:val="111827"/>
          <w:sz w:val="22"/>
        </w:rPr>
        <w:t>The saved PDF has no clipped text, overlap, blank second page, or unexpected font substitution.</w:t>
      </w:r>
    </w:p>
    <w:p>
      <w:pPr>
        <w:pStyle w:val="Heading1"/>
      </w:pPr>
      <w:r>
        <w:rPr>
          <w:rFonts w:ascii="Calibri" w:hAnsi="Calibri"/>
          <w:color w:val="175FA9"/>
          <w:sz w:val="32"/>
        </w:rPr>
        <w:t>Submission checklist</w:t>
      </w:r>
    </w:p>
    <w:p>
      <w:pPr>
        <w:spacing w:before="0" w:after="80" w:line="264" w:lineRule="auto"/>
        <w:ind w:left="720" w:hanging="360"/>
      </w:pPr>
      <w:r>
        <w:rPr>
          <w:rFonts w:ascii="Calibri" w:hAnsi="Calibri"/>
          <w:b/>
          <w:color w:val="0A2540"/>
          <w:sz w:val="22"/>
        </w:rPr>
        <w:t xml:space="preserve">☐ </w:t>
      </w:r>
      <w:r>
        <w:rPr>
          <w:rFonts w:ascii="Calibri" w:hAnsi="Calibri"/>
          <w:color w:val="111827"/>
          <w:sz w:val="22"/>
        </w:rPr>
        <w:t>I am the individual author and can defend every source choice, assumption, model output, and recommendation.</w:t>
      </w:r>
    </w:p>
    <w:p>
      <w:pPr>
        <w:spacing w:before="0" w:after="80" w:line="264" w:lineRule="auto"/>
        <w:ind w:left="720" w:hanging="360"/>
      </w:pPr>
      <w:r>
        <w:rPr>
          <w:rFonts w:ascii="Calibri" w:hAnsi="Calibri"/>
          <w:b/>
          <w:color w:val="0A2540"/>
          <w:sz w:val="22"/>
        </w:rPr>
        <w:t xml:space="preserve">☐ </w:t>
      </w:r>
      <w:r>
        <w:rPr>
          <w:rFonts w:ascii="Calibri" w:hAnsi="Calibri"/>
          <w:color w:val="111827"/>
          <w:sz w:val="22"/>
        </w:rPr>
        <w:t>The audience is the selected company's CFO and Board.</w:t>
      </w:r>
    </w:p>
    <w:p>
      <w:pPr>
        <w:spacing w:before="0" w:after="80" w:line="264" w:lineRule="auto"/>
        <w:ind w:left="720" w:hanging="360"/>
      </w:pPr>
      <w:r>
        <w:rPr>
          <w:rFonts w:ascii="Calibri" w:hAnsi="Calibri"/>
          <w:b/>
          <w:color w:val="0A2540"/>
          <w:sz w:val="22"/>
        </w:rPr>
        <w:t xml:space="preserve">☐ </w:t>
      </w:r>
      <w:r>
        <w:rPr>
          <w:rFonts w:ascii="Calibri" w:hAnsi="Calibri"/>
          <w:color w:val="111827"/>
          <w:sz w:val="22"/>
        </w:rPr>
        <w:t>The exact CFO decision requested and recommended action appear at the top of the page.</w:t>
      </w:r>
    </w:p>
    <w:p>
      <w:pPr>
        <w:spacing w:before="0" w:after="80" w:line="264" w:lineRule="auto"/>
        <w:ind w:left="720" w:hanging="360"/>
      </w:pPr>
      <w:r>
        <w:rPr>
          <w:rFonts w:ascii="Calibri" w:hAnsi="Calibri"/>
          <w:b/>
          <w:color w:val="0A2540"/>
          <w:sz w:val="22"/>
        </w:rPr>
        <w:t xml:space="preserve">☐ </w:t>
      </w:r>
      <w:r>
        <w:rPr>
          <w:rFonts w:ascii="Calibri" w:hAnsi="Calibri"/>
          <w:color w:val="111827"/>
          <w:sz w:val="22"/>
        </w:rPr>
        <w:t>The revenue engine, operating thesis, final testable hypothesis, and verified red-team change are explicit.</w:t>
      </w:r>
    </w:p>
    <w:p>
      <w:pPr>
        <w:spacing w:before="0" w:after="80" w:line="264" w:lineRule="auto"/>
        <w:ind w:left="720" w:hanging="360"/>
      </w:pPr>
      <w:r>
        <w:rPr>
          <w:rFonts w:ascii="Calibri" w:hAnsi="Calibri"/>
          <w:b/>
          <w:color w:val="0A2540"/>
          <w:sz w:val="22"/>
        </w:rPr>
        <w:t xml:space="preserve">☐ </w:t>
      </w:r>
      <w:r>
        <w:rPr>
          <w:rFonts w:ascii="Calibri" w:hAnsi="Calibri"/>
          <w:color w:val="111827"/>
          <w:sz w:val="22"/>
        </w:rPr>
        <w:t>The valuation/scenario conclusion reconciles to the assessed Excel model and states the principal limitation.</w:t>
      </w:r>
    </w:p>
    <w:p>
      <w:pPr>
        <w:spacing w:before="0" w:after="80" w:line="264" w:lineRule="auto"/>
        <w:ind w:left="720" w:hanging="360"/>
      </w:pPr>
      <w:r>
        <w:rPr>
          <w:rFonts w:ascii="Calibri" w:hAnsi="Calibri"/>
          <w:b/>
          <w:color w:val="0A2540"/>
          <w:sz w:val="22"/>
        </w:rPr>
        <w:t xml:space="preserve">☐ </w:t>
      </w:r>
      <w:r>
        <w:rPr>
          <w:rFonts w:ascii="Calibri" w:hAnsi="Calibri"/>
          <w:color w:val="111827"/>
          <w:sz w:val="22"/>
        </w:rPr>
        <w:t>Two or three supporting actions include owners or responsible functions, timing, indicators, and triggers.</w:t>
      </w:r>
    </w:p>
    <w:p>
      <w:pPr>
        <w:spacing w:before="0" w:after="80" w:line="264" w:lineRule="auto"/>
        <w:ind w:left="720" w:hanging="360"/>
      </w:pPr>
      <w:r>
        <w:rPr>
          <w:rFonts w:ascii="Calibri" w:hAnsi="Calibri"/>
          <w:b/>
          <w:color w:val="0A2540"/>
          <w:sz w:val="22"/>
        </w:rPr>
        <w:t xml:space="preserve">☐ </w:t>
      </w:r>
      <w:r>
        <w:rPr>
          <w:rFonts w:ascii="Calibri" w:hAnsi="Calibri"/>
          <w:color w:val="111827"/>
          <w:sz w:val="22"/>
        </w:rPr>
        <w:t>Principal risks, tradeoffs, and mitigations are prioritized and company-specific.</w:t>
      </w:r>
    </w:p>
    <w:p>
      <w:pPr>
        <w:spacing w:before="0" w:after="80" w:line="264" w:lineRule="auto"/>
        <w:ind w:left="720" w:hanging="360"/>
      </w:pPr>
      <w:r>
        <w:rPr>
          <w:rFonts w:ascii="Calibri" w:hAnsi="Calibri"/>
          <w:b/>
          <w:color w:val="0A2540"/>
          <w:sz w:val="22"/>
        </w:rPr>
        <w:t xml:space="preserve">☐ </w:t>
      </w:r>
      <w:r>
        <w:rPr>
          <w:rFonts w:ascii="Calibri" w:hAnsi="Calibri"/>
          <w:color w:val="111827"/>
          <w:sz w:val="22"/>
        </w:rPr>
        <w:t>Material claims and figures have compact SEC, FactSet, model, or other named source notes.</w:t>
      </w:r>
    </w:p>
    <w:p>
      <w:pPr>
        <w:spacing w:before="0" w:after="80" w:line="264" w:lineRule="auto"/>
        <w:ind w:left="720" w:hanging="360"/>
      </w:pPr>
      <w:r>
        <w:rPr>
          <w:rFonts w:ascii="Calibri" w:hAnsi="Calibri"/>
          <w:b/>
          <w:color w:val="0A2540"/>
          <w:sz w:val="22"/>
        </w:rPr>
        <w:t xml:space="preserve">☐ </w:t>
      </w:r>
      <w:r>
        <w:rPr>
          <w:rFonts w:ascii="Calibri" w:hAnsi="Calibri"/>
          <w:color w:val="111827"/>
          <w:sz w:val="22"/>
        </w:rPr>
        <w:t>The final AI-use disclosure identifies purpose, retained output, verification, and human judgment.</w:t>
      </w:r>
    </w:p>
    <w:p>
      <w:pPr>
        <w:spacing w:before="0" w:after="80" w:line="264" w:lineRule="auto"/>
        <w:ind w:left="720" w:hanging="360"/>
      </w:pPr>
      <w:r>
        <w:rPr>
          <w:rFonts w:ascii="Calibri" w:hAnsi="Calibri"/>
          <w:b/>
          <w:color w:val="0A2540"/>
          <w:sz w:val="22"/>
        </w:rPr>
        <w:t xml:space="preserve">☐ </w:t>
      </w:r>
      <w:r>
        <w:rPr>
          <w:rFonts w:ascii="Calibri" w:hAnsi="Calibri"/>
          <w:color w:val="111827"/>
          <w:sz w:val="22"/>
        </w:rPr>
        <w:t>The submitted PDF is exactly one readable page and is one of exactly two final communication files.</w:t>
      </w:r>
    </w:p>
    <w:p>
      <w:pPr>
        <w:pStyle w:val="Heading1"/>
      </w:pPr>
      <w:r>
        <w:rPr>
          <w:rFonts w:ascii="Calibri" w:hAnsi="Calibri"/>
          <w:color w:val="175FA9"/>
          <w:sz w:val="32"/>
        </w:rPr>
        <w:t>15-point rubric | Master criterion S01_CFO_SYNTHESIS</w:t>
      </w:r>
    </w:p>
    <w:p>
      <w:pPr>
        <w:spacing w:before="0" w:after="120" w:line="264" w:lineRule="auto"/>
      </w:pPr>
      <w:r>
        <w:rPr>
          <w:rFonts w:ascii="Calibri" w:hAnsi="Calibri"/>
          <w:b/>
          <w:color w:val="111827"/>
          <w:sz w:val="22"/>
        </w:rPr>
        <w:t>Criterion:</w:t>
      </w:r>
      <w:r>
        <w:rPr>
          <w:rFonts w:ascii="Calibri" w:hAnsi="Calibri"/>
          <w:color w:val="111827"/>
          <w:sz w:val="22"/>
        </w:rPr>
        <w:t xml:space="preserve"> CFO-ready synthesis</w:t>
      </w:r>
    </w:p>
    <w:p>
      <w:pPr>
        <w:spacing w:before="0" w:after="120" w:line="264" w:lineRule="auto"/>
      </w:pPr>
      <w:r>
        <w:rPr>
          <w:rFonts w:ascii="Calibri" w:hAnsi="Calibri"/>
          <w:b/>
          <w:color w:val="111827"/>
          <w:sz w:val="22"/>
        </w:rPr>
        <w:t>Points:</w:t>
      </w:r>
      <w:r>
        <w:rPr>
          <w:rFonts w:ascii="Calibri" w:hAnsi="Calibri"/>
          <w:color w:val="111827"/>
          <w:sz w:val="22"/>
        </w:rPr>
        <w:t xml:space="preserve"> 15</w:t>
      </w:r>
    </w:p>
    <w:p>
      <w:pPr>
        <w:spacing w:before="0" w:after="120" w:line="264" w:lineRule="auto"/>
      </w:pPr>
      <w:r>
        <w:rPr>
          <w:rFonts w:ascii="Calibri" w:hAnsi="Calibri"/>
          <w:b/>
          <w:color w:val="111827"/>
          <w:sz w:val="22"/>
        </w:rPr>
        <w:t>Description:</w:t>
      </w:r>
      <w:r>
        <w:rPr>
          <w:rFonts w:ascii="Calibri" w:hAnsi="Calibri"/>
          <w:color w:val="111827"/>
          <w:sz w:val="22"/>
        </w:rPr>
        <w:t xml:space="preserve"> Uses one readable page to state the decision, revenue and valuation thesis, recommended action, implementation priorities, principal risks, sources, and verified AI disclosure.</w:t>
      </w:r>
    </w:p>
    <w:p>
      <w:pPr>
        <w:pStyle w:val="Heading2"/>
      </w:pPr>
      <w:r>
        <w:rPr>
          <w:rFonts w:ascii="Calibri" w:hAnsi="Calibri"/>
          <w:color w:val="175FA9"/>
          <w:sz w:val="26"/>
        </w:rPr>
        <w:t>Evidence used for scoring</w:t>
      </w:r>
    </w:p>
    <w:p>
      <w:pPr>
        <w:spacing w:before="0" w:after="80" w:line="264" w:lineRule="auto"/>
        <w:ind w:left="720" w:hanging="360"/>
        <w:numPr>
          <w:ilvl w:val="0"/>
          <w:numId w:val="10"/>
        </w:numPr>
      </w:pPr>
      <w:r>
        <w:rPr>
          <w:rFonts w:ascii="Calibri" w:hAnsi="Calibri"/>
          <w:color w:val="111827"/>
          <w:sz w:val="22"/>
        </w:rPr>
        <w:t>The page states the decision requested and the recommended action without requiring the reader to infer the conclusion.</w:t>
      </w:r>
    </w:p>
    <w:p>
      <w:pPr>
        <w:spacing w:before="0" w:after="80" w:line="264" w:lineRule="auto"/>
        <w:ind w:left="720" w:hanging="360"/>
        <w:numPr>
          <w:ilvl w:val="0"/>
          <w:numId w:val="10"/>
        </w:numPr>
      </w:pPr>
      <w:r>
        <w:rPr>
          <w:rFonts w:ascii="Calibri" w:hAnsi="Calibri"/>
          <w:color w:val="111827"/>
          <w:sz w:val="22"/>
        </w:rPr>
        <w:t>The revenue-engine finding, testable hypothesis and revision, valuation or scenario conclusion, and principal limitation are integrated into one decision logic.</w:t>
      </w:r>
    </w:p>
    <w:p>
      <w:pPr>
        <w:spacing w:before="0" w:after="80" w:line="264" w:lineRule="auto"/>
        <w:ind w:left="720" w:hanging="360"/>
        <w:numPr>
          <w:ilvl w:val="0"/>
          <w:numId w:val="10"/>
        </w:numPr>
      </w:pPr>
      <w:r>
        <w:rPr>
          <w:rFonts w:ascii="Calibri" w:hAnsi="Calibri"/>
          <w:color w:val="111827"/>
          <w:sz w:val="22"/>
        </w:rPr>
        <w:t>Two or three supporting actions identify timing, responsible functions, performance indicators, triggers, tradeoffs, and mitigations.</w:t>
      </w:r>
    </w:p>
    <w:p>
      <w:pPr>
        <w:spacing w:before="0" w:after="80" w:line="264" w:lineRule="auto"/>
        <w:ind w:left="720" w:hanging="360"/>
        <w:numPr>
          <w:ilvl w:val="0"/>
          <w:numId w:val="10"/>
        </w:numPr>
      </w:pPr>
      <w:r>
        <w:rPr>
          <w:rFonts w:ascii="Calibri" w:hAnsi="Calibri"/>
          <w:color w:val="111827"/>
          <w:sz w:val="22"/>
        </w:rPr>
        <w:t>Material figures and claims have compact SEC, FactSet, model, or other named source notes with dates and definitions.</w:t>
      </w:r>
    </w:p>
    <w:p>
      <w:pPr>
        <w:spacing w:before="0" w:after="80" w:line="264" w:lineRule="auto"/>
        <w:ind w:left="720" w:hanging="360"/>
        <w:numPr>
          <w:ilvl w:val="0"/>
          <w:numId w:val="10"/>
        </w:numPr>
      </w:pPr>
      <w:r>
        <w:rPr>
          <w:rFonts w:ascii="Calibri" w:hAnsi="Calibri"/>
          <w:color w:val="111827"/>
          <w:sz w:val="22"/>
        </w:rPr>
        <w:t>The file is individually authored, readable at normal print size, accessible, and includes the final verified AI-use disclosure.</w:t>
      </w:r>
    </w:p>
    <w:p>
      <w:pPr>
        <w:pStyle w:val="Heading2"/>
      </w:pPr>
      <w:r>
        <w:rPr>
          <w:rFonts w:ascii="Calibri" w:hAnsi="Calibri"/>
          <w:color w:val="175FA9"/>
          <w:sz w:val="26"/>
        </w:rPr>
        <w:t>Performance levels</w:t>
      </w:r>
    </w:p>
    <w:tbl>
      <w:tblPr>
        <w:tblStyle w:val="TableGrid"/>
        <w:tblW w:type="dxa" w:w="9360"/>
        <w:jc w:val="left"/>
        <w:tblLayout w:type="fixed"/>
        <w:tblLook w:firstColumn="1" w:firstRow="1" w:lastColumn="0" w:lastRow="0" w:noHBand="0" w:noVBand="1" w:val="04A0"/>
        <w:tblInd w:w="120" w:type="dxa"/>
        <w:tblBorders>
          <w:top w:val="single" w:sz="6" w:space="0" w:color="C8D1D9"/>
          <w:left w:val="single" w:sz="6" w:space="0" w:color="C8D1D9"/>
          <w:bottom w:val="single" w:sz="6" w:space="0" w:color="C8D1D9"/>
          <w:right w:val="single" w:sz="6" w:space="0" w:color="C8D1D9"/>
          <w:insideH w:val="single" w:sz="6" w:space="0" w:color="C8D1D9"/>
          <w:insideV w:val="single" w:sz="6" w:space="0" w:color="C8D1D9"/>
        </w:tblBorders>
      </w:tblPr>
      <w:tblGrid>
        <w:gridCol w:w="1500"/>
        <w:gridCol w:w="1500"/>
        <w:gridCol w:w="6360"/>
      </w:tblGrid>
      <w:tr>
        <w:trPr>
          <w:tblHeader w:val="true"/>
          <w:cantSplit/>
        </w:trPr>
        <w:tc>
          <w:tcPr>
            <w:tcW w:type="dxa" w:w="1500"/>
            <w:shd w:fill="0A2540"/>
            <w:tcMar>
              <w:top w:w="70" w:type="dxa"/>
              <w:start w:w="100" w:type="dxa"/>
              <w:bottom w:w="70" w:type="dxa"/>
              <w:end w:w="100" w:type="dxa"/>
            </w:tcMar>
            <w:vAlign w:val="center"/>
          </w:tcPr>
          <w:p>
            <w:pPr>
              <w:spacing w:before="0" w:after="20" w:line="252" w:lineRule="auto"/>
            </w:pPr>
            <w:r>
              <w:rPr>
                <w:b/>
              </w:rPr>
            </w:r>
            <w:r>
              <w:rPr>
                <w:rFonts w:ascii="Calibri" w:hAnsi="Calibri"/>
                <w:b/>
                <w:color w:val="FFFFFF"/>
                <w:sz w:val="17"/>
              </w:rPr>
              <w:t>Level</w:t>
            </w:r>
          </w:p>
        </w:tc>
        <w:tc>
          <w:tcPr>
            <w:tcW w:type="dxa" w:w="1500"/>
            <w:shd w:fill="0A2540"/>
            <w:tcMar>
              <w:top w:w="70" w:type="dxa"/>
              <w:start w:w="100" w:type="dxa"/>
              <w:bottom w:w="70" w:type="dxa"/>
              <w:end w:w="100" w:type="dxa"/>
            </w:tcMar>
            <w:vAlign w:val="center"/>
          </w:tcPr>
          <w:p>
            <w:pPr>
              <w:spacing w:before="0" w:after="20" w:line="252" w:lineRule="auto"/>
            </w:pPr>
            <w:r>
              <w:rPr>
                <w:b/>
              </w:rPr>
            </w:r>
            <w:r>
              <w:rPr>
                <w:rFonts w:ascii="Calibri" w:hAnsi="Calibri"/>
                <w:b/>
                <w:color w:val="FFFFFF"/>
                <w:sz w:val="17"/>
              </w:rPr>
              <w:t>Point range</w:t>
            </w:r>
          </w:p>
        </w:tc>
        <w:tc>
          <w:tcPr>
            <w:tcW w:type="dxa" w:w="6360"/>
            <w:shd w:fill="0A2540"/>
            <w:tcMar>
              <w:top w:w="70" w:type="dxa"/>
              <w:start w:w="100" w:type="dxa"/>
              <w:bottom w:w="70" w:type="dxa"/>
              <w:end w:w="100" w:type="dxa"/>
            </w:tcMar>
            <w:vAlign w:val="center"/>
          </w:tcPr>
          <w:p>
            <w:pPr>
              <w:spacing w:before="0" w:after="20" w:line="252" w:lineRule="auto"/>
            </w:pPr>
            <w:r>
              <w:rPr>
                <w:b/>
              </w:rPr>
            </w:r>
            <w:r>
              <w:rPr>
                <w:rFonts w:ascii="Calibri" w:hAnsi="Calibri"/>
                <w:b/>
                <w:color w:val="FFFFFF"/>
                <w:sz w:val="17"/>
              </w:rPr>
              <w:t>Master-rubric anchor</w:t>
            </w:r>
          </w:p>
        </w:tc>
      </w:tr>
      <w:tr>
        <w:trPr>
          <w:cantSplit/>
        </w:trPr>
        <w:tc>
          <w:tcPr>
            <w:tcW w:type="dxa" w:w="1500"/>
            <w:tcMar>
              <w:top w:w="70" w:type="dxa"/>
              <w:start w:w="100" w:type="dxa"/>
              <w:bottom w:w="70" w:type="dxa"/>
              <w:end w:w="100" w:type="dxa"/>
            </w:tcMar>
            <w:vAlign w:val="center"/>
          </w:tcPr>
          <w:p>
            <w:pPr>
              <w:spacing w:before="0" w:after="20" w:line="252" w:lineRule="auto"/>
            </w:pPr>
            <w:r/>
            <w:r>
              <w:rPr>
                <w:rFonts w:ascii="Calibri" w:hAnsi="Calibri"/>
                <w:color w:val="111827"/>
                <w:sz w:val="17"/>
              </w:rPr>
              <w:t>Exemplary</w:t>
            </w:r>
          </w:p>
        </w:tc>
        <w:tc>
          <w:tcPr>
            <w:tcW w:type="dxa" w:w="1500"/>
            <w:tcMar>
              <w:top w:w="70" w:type="dxa"/>
              <w:start w:w="100" w:type="dxa"/>
              <w:bottom w:w="70" w:type="dxa"/>
              <w:end w:w="100" w:type="dxa"/>
            </w:tcMar>
            <w:vAlign w:val="center"/>
          </w:tcPr>
          <w:p>
            <w:pPr>
              <w:spacing w:before="0" w:after="20" w:line="252" w:lineRule="auto"/>
            </w:pPr>
            <w:r/>
            <w:r>
              <w:rPr>
                <w:rFonts w:ascii="Calibri" w:hAnsi="Calibri"/>
                <w:color w:val="111827"/>
                <w:sz w:val="17"/>
              </w:rPr>
              <w:t>13.50–15.00</w:t>
            </w:r>
          </w:p>
        </w:tc>
        <w:tc>
          <w:tcPr>
            <w:tcW w:type="dxa" w:w="6360"/>
            <w:tcMar>
              <w:top w:w="70" w:type="dxa"/>
              <w:start w:w="100" w:type="dxa"/>
              <w:bottom w:w="70" w:type="dxa"/>
              <w:end w:w="100" w:type="dxa"/>
            </w:tcMar>
            <w:vAlign w:val="center"/>
          </w:tcPr>
          <w:p>
            <w:pPr>
              <w:spacing w:before="0" w:after="20" w:line="252" w:lineRule="auto"/>
            </w:pPr>
            <w:r/>
            <w:r>
              <w:rPr>
                <w:rFonts w:ascii="Calibri" w:hAnsi="Calibri"/>
                <w:color w:val="111827"/>
                <w:sz w:val="17"/>
              </w:rPr>
              <w:t>One page delivers a precise, persuasive, evidence-traceable CFO decision with integrated revenue and valuation logic, prioritized implementation, monitoring triggers, risks, limitations, and disclosure.</w:t>
            </w:r>
          </w:p>
        </w:tc>
      </w:tr>
      <w:tr>
        <w:trPr>
          <w:cantSplit/>
        </w:trPr>
        <w:tc>
          <w:tcPr>
            <w:tcW w:type="dxa" w:w="1500"/>
            <w:shd w:fill="F7F3ED"/>
            <w:tcMar>
              <w:top w:w="70" w:type="dxa"/>
              <w:start w:w="100" w:type="dxa"/>
              <w:bottom w:w="70" w:type="dxa"/>
              <w:end w:w="100" w:type="dxa"/>
            </w:tcMar>
            <w:vAlign w:val="center"/>
          </w:tcPr>
          <w:p>
            <w:pPr>
              <w:spacing w:before="0" w:after="20" w:line="252" w:lineRule="auto"/>
            </w:pPr>
            <w:r/>
            <w:r>
              <w:rPr>
                <w:rFonts w:ascii="Calibri" w:hAnsi="Calibri"/>
                <w:color w:val="111827"/>
                <w:sz w:val="17"/>
              </w:rPr>
              <w:t>Proficient</w:t>
            </w:r>
          </w:p>
        </w:tc>
        <w:tc>
          <w:tcPr>
            <w:tcW w:type="dxa" w:w="1500"/>
            <w:shd w:fill="F7F3ED"/>
            <w:tcMar>
              <w:top w:w="70" w:type="dxa"/>
              <w:start w:w="100" w:type="dxa"/>
              <w:bottom w:w="70" w:type="dxa"/>
              <w:end w:w="100" w:type="dxa"/>
            </w:tcMar>
            <w:vAlign w:val="center"/>
          </w:tcPr>
          <w:p>
            <w:pPr>
              <w:spacing w:before="0" w:after="20" w:line="252" w:lineRule="auto"/>
            </w:pPr>
            <w:r/>
            <w:r>
              <w:rPr>
                <w:rFonts w:ascii="Calibri" w:hAnsi="Calibri"/>
                <w:color w:val="111827"/>
                <w:sz w:val="17"/>
              </w:rPr>
              <w:t>12.00–13.49</w:t>
            </w:r>
          </w:p>
        </w:tc>
        <w:tc>
          <w:tcPr>
            <w:tcW w:type="dxa" w:w="6360"/>
            <w:shd w:fill="F7F3ED"/>
            <w:tcMar>
              <w:top w:w="70" w:type="dxa"/>
              <w:start w:w="100" w:type="dxa"/>
              <w:bottom w:w="70" w:type="dxa"/>
              <w:end w:w="100" w:type="dxa"/>
            </w:tcMar>
            <w:vAlign w:val="center"/>
          </w:tcPr>
          <w:p>
            <w:pPr>
              <w:spacing w:before="0" w:after="20" w:line="252" w:lineRule="auto"/>
            </w:pPr>
            <w:r/>
            <w:r>
              <w:rPr>
                <w:rFonts w:ascii="Calibri" w:hAnsi="Calibri"/>
                <w:color w:val="111827"/>
                <w:sz w:val="17"/>
              </w:rPr>
              <w:t>Summary is decision-ready and covers the required evidence and implementation elements; minor density, prioritization, or source-note gaps remain.</w:t>
            </w:r>
          </w:p>
        </w:tc>
      </w:tr>
      <w:tr>
        <w:trPr>
          <w:cantSplit/>
        </w:trPr>
        <w:tc>
          <w:tcPr>
            <w:tcW w:type="dxa" w:w="1500"/>
            <w:tcMar>
              <w:top w:w="70" w:type="dxa"/>
              <w:start w:w="100" w:type="dxa"/>
              <w:bottom w:w="70" w:type="dxa"/>
              <w:end w:w="100" w:type="dxa"/>
            </w:tcMar>
            <w:vAlign w:val="center"/>
          </w:tcPr>
          <w:p>
            <w:pPr>
              <w:spacing w:before="0" w:after="20" w:line="252" w:lineRule="auto"/>
            </w:pPr>
            <w:r/>
            <w:r>
              <w:rPr>
                <w:rFonts w:ascii="Calibri" w:hAnsi="Calibri"/>
                <w:color w:val="111827"/>
                <w:sz w:val="17"/>
              </w:rPr>
              <w:t>Developing</w:t>
            </w:r>
          </w:p>
        </w:tc>
        <w:tc>
          <w:tcPr>
            <w:tcW w:type="dxa" w:w="1500"/>
            <w:tcMar>
              <w:top w:w="70" w:type="dxa"/>
              <w:start w:w="100" w:type="dxa"/>
              <w:bottom w:w="70" w:type="dxa"/>
              <w:end w:w="100" w:type="dxa"/>
            </w:tcMar>
            <w:vAlign w:val="center"/>
          </w:tcPr>
          <w:p>
            <w:pPr>
              <w:spacing w:before="0" w:after="20" w:line="252" w:lineRule="auto"/>
            </w:pPr>
            <w:r/>
            <w:r>
              <w:rPr>
                <w:rFonts w:ascii="Calibri" w:hAnsi="Calibri"/>
                <w:color w:val="111827"/>
                <w:sz w:val="17"/>
              </w:rPr>
              <w:t>10.50–11.99</w:t>
            </w:r>
          </w:p>
        </w:tc>
        <w:tc>
          <w:tcPr>
            <w:tcW w:type="dxa" w:w="6360"/>
            <w:tcMar>
              <w:top w:w="70" w:type="dxa"/>
              <w:start w:w="100" w:type="dxa"/>
              <w:bottom w:w="70" w:type="dxa"/>
              <w:end w:w="100" w:type="dxa"/>
            </w:tcMar>
            <w:vAlign w:val="center"/>
          </w:tcPr>
          <w:p>
            <w:pPr>
              <w:spacing w:before="0" w:after="20" w:line="252" w:lineRule="auto"/>
            </w:pPr>
            <w:r/>
            <w:r>
              <w:rPr>
                <w:rFonts w:ascii="Calibri" w:hAnsi="Calibri"/>
                <w:color w:val="111827"/>
                <w:sz w:val="17"/>
              </w:rPr>
              <w:t>The page is understandable but omits or weakly connects a material element such as revenue, scenarios, implementation, risks, sources, or disclosure.</w:t>
            </w:r>
          </w:p>
        </w:tc>
      </w:tr>
      <w:tr>
        <w:trPr>
          <w:cantSplit/>
        </w:trPr>
        <w:tc>
          <w:tcPr>
            <w:tcW w:type="dxa" w:w="1500"/>
            <w:shd w:fill="F7F3ED"/>
            <w:tcMar>
              <w:top w:w="70" w:type="dxa"/>
              <w:start w:w="100" w:type="dxa"/>
              <w:bottom w:w="70" w:type="dxa"/>
              <w:end w:w="100" w:type="dxa"/>
            </w:tcMar>
            <w:vAlign w:val="center"/>
          </w:tcPr>
          <w:p>
            <w:pPr>
              <w:spacing w:before="0" w:after="20" w:line="252" w:lineRule="auto"/>
            </w:pPr>
            <w:r/>
            <w:r>
              <w:rPr>
                <w:rFonts w:ascii="Calibri" w:hAnsi="Calibri"/>
                <w:color w:val="111827"/>
                <w:sz w:val="17"/>
              </w:rPr>
              <w:t>Insufficient</w:t>
            </w:r>
          </w:p>
        </w:tc>
        <w:tc>
          <w:tcPr>
            <w:tcW w:type="dxa" w:w="1500"/>
            <w:shd w:fill="F7F3ED"/>
            <w:tcMar>
              <w:top w:w="70" w:type="dxa"/>
              <w:start w:w="100" w:type="dxa"/>
              <w:bottom w:w="70" w:type="dxa"/>
              <w:end w:w="100" w:type="dxa"/>
            </w:tcMar>
            <w:vAlign w:val="center"/>
          </w:tcPr>
          <w:p>
            <w:pPr>
              <w:spacing w:before="0" w:after="20" w:line="252" w:lineRule="auto"/>
            </w:pPr>
            <w:r/>
            <w:r>
              <w:rPr>
                <w:rFonts w:ascii="Calibri" w:hAnsi="Calibri"/>
                <w:color w:val="111827"/>
                <w:sz w:val="17"/>
              </w:rPr>
              <w:t>0–10.49</w:t>
            </w:r>
          </w:p>
        </w:tc>
        <w:tc>
          <w:tcPr>
            <w:tcW w:type="dxa" w:w="6360"/>
            <w:shd w:fill="F7F3ED"/>
            <w:tcMar>
              <w:top w:w="70" w:type="dxa"/>
              <w:start w:w="100" w:type="dxa"/>
              <w:bottom w:w="70" w:type="dxa"/>
              <w:end w:w="100" w:type="dxa"/>
            </w:tcMar>
            <w:vAlign w:val="center"/>
          </w:tcPr>
          <w:p>
            <w:pPr>
              <w:spacing w:before="0" w:after="20" w:line="252" w:lineRule="auto"/>
            </w:pPr>
            <w:r/>
            <w:r>
              <w:rPr>
                <w:rFonts w:ascii="Calibri" w:hAnsi="Calibri"/>
                <w:color w:val="111827"/>
                <w:sz w:val="17"/>
              </w:rPr>
              <w:t>The page is missing, over length, unreadable, generic, unsupported, or does not present an individually defensible CFO recommendation.</w:t>
            </w:r>
          </w:p>
        </w:tc>
      </w:tr>
    </w:tbl>
    <w:p>
      <w:pPr>
        <w:spacing w:before="0" w:after="40" w:line="240" w:lineRule="auto"/>
      </w:pPr>
    </w:p>
    <w:p>
      <w:pPr>
        <w:spacing w:before="0" w:after="120" w:line="264" w:lineRule="auto"/>
      </w:pPr>
      <w:r>
        <w:rPr>
          <w:rFonts w:ascii="Calibri" w:hAnsi="Calibri"/>
          <w:color w:val="111827"/>
          <w:sz w:val="22"/>
        </w:rPr>
        <w:t>Scores may be entered to two decimal places. The performance levels are anchors; the instructor assigns points based on the overall quality and completeness of the single integrated criterion.</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E6B75"/>
        <w:sz w:val="16"/>
      </w:rPr>
      <w:t xml:space="preserve">Student guide · source 4718ced6d1 · rubric d2a6d9101f  |  </w:t>
    </w:r>
    <w:r>
      <w:rPr>
        <w:rFonts w:ascii="Calibri" w:hAnsi="Calibri"/>
        <w:color w:val="5E6B75"/>
        <w:sz w:val="17"/>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left"/>
    </w:pPr>
    <w:r>
      <w:rPr>
        <w:rFonts w:ascii="Calibri" w:hAnsi="Calibri"/>
        <w:b/>
        <w:color w:val="5E6B75"/>
        <w:sz w:val="17"/>
      </w:rPr>
      <w:t>BUS311 Corporate Finance  |  Individual Company Capstone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720"/>
        </w:tabs>
        <w:ind w:left="720" w:hanging="360"/>
      </w:pPr>
    </w:lvl>
  </w:abstractNum>
  <w:num w:numId="10">
    <w:abstractNumId w:val="9"/>
  </w:num>
  <w:abstractNum w:abstractNumId="10">
    <w:multiLevelType w:val="singleLevel"/>
    <w:lvl w:ilvl="0">
      <w:start w:val="1"/>
      <w:numFmt w:val="decimal"/>
      <w:lvlText w:val="%1."/>
      <w:suff w:val="tab"/>
      <w:pPr>
        <w:tabs>
          <w:tab w:val="num" w:pos="720"/>
        </w:tabs>
        <w:ind w:left="720" w:hanging="360"/>
      </w:pPr>
    </w:lvl>
  </w:abstractNum>
  <w:num w:numId="11">
    <w:abstractNumId w:val="10"/>
  </w:num>
  <w:abstractNum w:abstractNumId="11">
    <w:multiLevelType w:val="singleLevel"/>
    <w:lvl w:ilvl="0">
      <w:start w:val="1"/>
      <w:numFmt w:val="decimal"/>
      <w:lvlText w:val="%1."/>
      <w:suff w:val="tab"/>
      <w:pPr>
        <w:tabs>
          <w:tab w:val="num" w:pos="720"/>
        </w:tabs>
        <w:ind w:left="720" w:hanging="360"/>
      </w:pPr>
    </w:lvl>
  </w:abstract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175FA9"/>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75FA9"/>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0A254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BUS311 One-Page Executive Summary — Student Instructions</dc:title>
  <dc:subject>Individual company capstone executive-summary requirements</dc:subject>
  <dc:creator>BUS311 Corporate Finance</dc:creator>
  <cp:keywords/>
  <dc:description>Maintained source: BUS311-capstone-executive-summary-student-guide.md (4718ced6d1bea725456d9bf28c862c2eade33911bf354fa0b037d6f7d7632a84); master rubric: BUS311-capstone-rubric-schema.json (d2a6d9101f1d60048c071272ce5db5d46910bac2e8a409339d506ac801c97cfd)</dc:description>
  <cp:lastModifiedBy/>
  <cp:revision>1</cp:revision>
  <dcterms:created xsi:type="dcterms:W3CDTF">2013-12-23T23:15:00Z</dcterms:created>
  <dcterms:modified xsi:type="dcterms:W3CDTF">2013-12-23T23:15:00Z</dcterms:modified>
  <cp:category/>
</cp:coreProperties>
</file>