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/>
          <w:b/>
          <w:color w:val="C66A3D"/>
          <w:sz w:val="17"/>
        </w:rPr>
        <w:t>SANITIZED EXAMPLE</w:t>
      </w:r>
    </w:p>
    <w:p>
      <w:pPr>
        <w:spacing w:before="0" w:after="20" w:line="240" w:lineRule="auto"/>
      </w:pPr>
      <w:r>
        <w:rPr>
          <w:rFonts w:ascii="Calibri" w:hAnsi="Calibri"/>
          <w:b/>
          <w:color w:val="0A2540"/>
          <w:sz w:val="34"/>
        </w:rPr>
        <w:t>EXECUTIVE DECISION SUMMARY</w:t>
      </w:r>
    </w:p>
    <w:p>
      <w:pPr>
        <w:spacing w:before="0" w:after="60" w:line="240" w:lineRule="auto"/>
      </w:pPr>
      <w:r>
        <w:rPr>
          <w:rFonts w:ascii="Calibri" w:hAnsi="Calibri"/>
          <w:b/>
          <w:color w:val="0A2540"/>
          <w:sz w:val="17"/>
        </w:rPr>
        <w:t xml:space="preserve">To: </w:t>
      </w:r>
      <w:r>
        <w:rPr>
          <w:rFonts w:ascii="Calibri" w:hAnsi="Calibri"/>
          <w:color w:val="111827"/>
          <w:sz w:val="17"/>
        </w:rPr>
        <w:t>CFO and Board</w:t>
      </w:r>
      <w:r>
        <w:rPr>
          <w:rFonts w:ascii="Calibri" w:hAnsi="Calibri"/>
          <w:color w:val="C8D1D9"/>
          <w:sz w:val="17"/>
        </w:rPr>
        <w:t xml:space="preserve">   |   </w:t>
      </w:r>
      <w:r>
        <w:rPr>
          <w:rFonts w:ascii="Calibri" w:hAnsi="Calibri"/>
          <w:b/>
          <w:color w:val="0A2540"/>
          <w:sz w:val="17"/>
        </w:rPr>
        <w:t xml:space="preserve">Company: </w:t>
      </w:r>
      <w:r>
        <w:rPr>
          <w:rFonts w:ascii="Calibri" w:hAnsi="Calibri"/>
          <w:color w:val="111827"/>
          <w:sz w:val="17"/>
        </w:rPr>
        <w:t>[Approved Company]</w:t>
      </w:r>
      <w:r>
        <w:rPr>
          <w:rFonts w:ascii="Calibri" w:hAnsi="Calibri"/>
          <w:color w:val="C8D1D9"/>
          <w:sz w:val="17"/>
        </w:rPr>
        <w:t xml:space="preserve">   |   </w:t>
      </w:r>
      <w:r>
        <w:rPr>
          <w:rFonts w:ascii="Calibri" w:hAnsi="Calibri"/>
          <w:b/>
          <w:color w:val="0A2540"/>
          <w:sz w:val="17"/>
        </w:rPr>
        <w:t xml:space="preserve">Ticker: </w:t>
      </w:r>
      <w:r>
        <w:rPr>
          <w:rFonts w:ascii="Calibri" w:hAnsi="Calibri"/>
          <w:color w:val="111827"/>
          <w:sz w:val="17"/>
        </w:rPr>
        <w:t>[TICKER]</w:t>
      </w:r>
      <w:r>
        <w:rPr>
          <w:rFonts w:ascii="Calibri" w:hAnsi="Calibri"/>
          <w:color w:val="C8D1D9"/>
          <w:sz w:val="17"/>
        </w:rPr>
        <w:t xml:space="preserve">   |   </w:t>
      </w:r>
      <w:r>
        <w:rPr>
          <w:rFonts w:ascii="Calibri" w:hAnsi="Calibri"/>
          <w:b/>
          <w:color w:val="0A2540"/>
          <w:sz w:val="17"/>
        </w:rPr>
        <w:t xml:space="preserve">From: </w:t>
      </w:r>
      <w:r>
        <w:rPr>
          <w:rFonts w:ascii="Calibri" w:hAnsi="Calibri"/>
          <w:color w:val="111827"/>
          <w:sz w:val="17"/>
        </w:rPr>
        <w:t>[Student name]</w:t>
      </w:r>
      <w:r>
        <w:rPr>
          <w:rFonts w:ascii="Calibri" w:hAnsi="Calibri"/>
          <w:color w:val="C8D1D9"/>
          <w:sz w:val="17"/>
        </w:rPr>
        <w:t xml:space="preserve">   |   </w:t>
      </w:r>
      <w:r>
        <w:rPr>
          <w:rFonts w:ascii="Calibri" w:hAnsi="Calibri"/>
          <w:b/>
          <w:color w:val="0A2540"/>
          <w:sz w:val="17"/>
        </w:rPr>
        <w:t xml:space="preserve">Date: </w:t>
      </w:r>
      <w:r>
        <w:rPr>
          <w:rFonts w:ascii="Calibri" w:hAnsi="Calibri"/>
          <w:color w:val="111827"/>
          <w:sz w:val="17"/>
        </w:rPr>
        <w:t>[Submission date]</w:t>
      </w:r>
    </w:p>
    <w:p>
      <w:pPr>
        <w:spacing w:before="0" w:after="60" w:line="240" w:lineRule="auto"/>
        <w:shd w:fill="F7E9E2"/>
      </w:pPr>
      <w:r>
        <w:rPr>
          <w:rFonts w:ascii="Calibri" w:hAnsi="Calibri"/>
          <w:b/>
          <w:color w:val="C66A3D"/>
          <w:sz w:val="17"/>
        </w:rPr>
        <w:t xml:space="preserve">SANITIZED PATTERN — </w:t>
      </w:r>
      <w:r>
        <w:rPr>
          <w:rFonts w:ascii="Calibri" w:hAnsi="Calibri"/>
          <w:i/>
          <w:color w:val="0A2540"/>
          <w:sz w:val="17"/>
        </w:rPr>
        <w:t>Company facts and figures are masked. Replace every bracketed item with independently verified evidence.</w:t>
      </w:r>
    </w:p>
    <w:p>
      <w:pPr>
        <w:spacing w:before="20" w:after="60" w:line="245" w:lineRule="auto"/>
        <w:shd w:fill="F7F3ED"/>
        <w:pBdr>
          <w:top w:val="single" w:sz="6" w:space="3" w:color="C8D1D9"/>
          <w:left w:val="single" w:sz="6" w:space="3" w:color="C8D1D9"/>
          <w:bottom w:val="single" w:sz="6" w:space="3" w:color="C8D1D9"/>
          <w:right w:val="single" w:sz="6" w:space="3" w:color="C8D1D9"/>
        </w:pBdr>
      </w:pPr>
      <w:r>
        <w:rPr>
          <w:rFonts w:ascii="Calibri" w:hAnsi="Calibri"/>
          <w:b/>
          <w:color w:val="0A2540"/>
          <w:sz w:val="20"/>
        </w:rPr>
        <w:t xml:space="preserve">DECISION REQUESTED  </w:t>
      </w:r>
      <w:r>
        <w:rPr>
          <w:rFonts w:ascii="Calibri" w:hAnsi="Calibri"/>
          <w:i w:val="0"/>
          <w:color w:val="111827"/>
          <w:sz w:val="20"/>
        </w:rPr>
        <w:t>Should the Board authorize a staged investment in [named growth lever], with the second funding release contingent on [demand indicator] and [cash/return guardrail], rather than approve the full commitment now or defer all investment?</w:t>
      </w:r>
      <w:r>
        <w:rPr>
          <w:rFonts w:ascii="Calibri" w:hAnsi="Calibri"/>
          <w:b/>
          <w:color w:val="0A2540"/>
          <w:sz w:val="20"/>
        </w:rPr>
        <w:br/>
        <w:t xml:space="preserve">RECOMMENDATION  </w:t>
      </w:r>
      <w:r>
        <w:rPr>
          <w:rFonts w:ascii="Calibri" w:hAnsi="Calibri"/>
          <w:i w:val="0"/>
          <w:color w:val="111827"/>
          <w:sz w:val="20"/>
        </w:rPr>
        <w:t>Approve the staged plan. It captures the supported growth option while preserving the CFO's ability to stop if demand conversion or cash generation falls below the model-tested guardrails.</w:t>
      </w:r>
    </w:p>
    <w:p>
      <w:pPr>
        <w:pStyle w:val="Heading1"/>
        <w:shd w:fill="EAF2F8"/>
      </w:pPr>
      <w:r>
        <w:rPr>
          <w:rFonts w:ascii="Calibri" w:hAnsi="Calibri"/>
          <w:b/>
          <w:color w:val="175FA9"/>
          <w:sz w:val="24"/>
        </w:rPr>
        <w:t>Revenue Engine &amp; Operating Thesis</w:t>
      </w:r>
    </w:p>
    <w:p>
      <w:pPr>
        <w:spacing w:before="0" w:after="40" w:line="245" w:lineRule="auto"/>
      </w:pPr>
      <w:r>
        <w:rPr>
          <w:rFonts w:ascii="Calibri" w:hAnsi="Calibri"/>
          <w:i w:val="0"/>
          <w:color w:val="111827"/>
          <w:sz w:val="20"/>
        </w:rPr>
        <w:t>The decision turns on whether [priority segment] can convert [company-disclosed demand indicator] into profitable sales without worsening [capital or working-capital constraint]. [Driver 1] and [driver 2] are the repeatable levers; [temporary effect] should not be carried forward. The CFO should monitor [leading indicator] and [cash/margin indicator] because they connect operating execution to the funding gate. [S1, F1]</w:t>
      </w:r>
    </w:p>
    <w:p>
      <w:pPr>
        <w:pStyle w:val="Heading1"/>
        <w:shd w:fill="EAF2F8"/>
      </w:pPr>
      <w:r>
        <w:rPr>
          <w:rFonts w:ascii="Calibri" w:hAnsi="Calibri"/>
          <w:b/>
          <w:color w:val="175FA9"/>
          <w:sz w:val="24"/>
        </w:rPr>
        <w:t>Testable Revenue Hypothesis &amp; Red-Team Revision</w:t>
      </w:r>
    </w:p>
    <w:p>
      <w:pPr>
        <w:spacing w:before="0" w:after="40" w:line="245" w:lineRule="auto"/>
      </w:pPr>
      <w:r>
        <w:rPr>
          <w:rFonts w:ascii="Calibri" w:hAnsi="Calibri"/>
          <w:i w:val="0"/>
          <w:color w:val="111827"/>
          <w:sz w:val="20"/>
        </w:rPr>
        <w:t>Final hypothesis: if [operating mechanism] improves during [period], then [revenue or margin effect] should follow; failure of [observable evidence] would disprove the claim. The red team identified [alternative explanation]. After checking [specific SEC disclosure], [FactSet item], and [model sensitivity], I modified the claim by adding [condition/limitation] rather than treating the original relationship as unconditional. [S1, F1, M1]</w:t>
      </w:r>
    </w:p>
    <w:p>
      <w:pPr>
        <w:pStyle w:val="Heading1"/>
        <w:shd w:fill="EAF2F8"/>
      </w:pPr>
      <w:r>
        <w:rPr>
          <w:rFonts w:ascii="Calibri" w:hAnsi="Calibri"/>
          <w:b/>
          <w:color w:val="175FA9"/>
          <w:sz w:val="24"/>
        </w:rPr>
        <w:t>Valuation &amp; Scenario Conclusion</w:t>
      </w:r>
    </w:p>
    <w:p>
      <w:pPr>
        <w:spacing w:before="0" w:after="40" w:line="245" w:lineRule="auto"/>
      </w:pPr>
      <w:r>
        <w:rPr>
          <w:rFonts w:ascii="Calibri" w:hAnsi="Calibri"/>
          <w:i w:val="0"/>
          <w:color w:val="111827"/>
          <w:sz w:val="20"/>
        </w:rPr>
        <w:t>The assessed base case supports staged approval, while the upside requires stronger [driver] and the downside fails the investment gate when [key assumption] weakens. The recommendation changes to defer if [model-tested trigger] occurs. The principal limitation is [data or comparability issue], so the Board should treat the result as a decision range, not a precise forecast. [M1]</w:t>
      </w:r>
    </w:p>
    <w:p>
      <w:pPr>
        <w:pStyle w:val="Heading1"/>
        <w:shd w:fill="EAF2F8"/>
      </w:pPr>
      <w:r>
        <w:rPr>
          <w:rFonts w:ascii="Calibri" w:hAnsi="Calibri"/>
          <w:b/>
          <w:color w:val="175FA9"/>
          <w:sz w:val="24"/>
        </w:rPr>
        <w:t>Recommended Actions &amp;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9"/>
          <w:left w:val="single" w:sz="6" w:space="0" w:color="C8D1D9"/>
          <w:bottom w:val="single" w:sz="6" w:space="0" w:color="C8D1D9"/>
          <w:right w:val="single" w:sz="6" w:space="0" w:color="C8D1D9"/>
          <w:insideH w:val="single" w:sz="6" w:space="0" w:color="C8D1D9"/>
          <w:insideV w:val="single" w:sz="6" w:space="0" w:color="C8D1D9"/>
        </w:tblBorders>
      </w:tblPr>
      <w:tblGrid>
        <w:gridCol w:w="2500"/>
        <w:gridCol w:w="1500"/>
        <w:gridCol w:w="1100"/>
        <w:gridCol w:w="4260"/>
      </w:tblGrid>
      <w:tr>
        <w:trPr>
          <w:tblHeader w:val="true"/>
          <w:cantSplit/>
        </w:trPr>
        <w:tc>
          <w:tcPr>
            <w:tcW w:type="dxa" w:w="2500"/>
            <w:shd w:fill="0A2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Priority action</w:t>
            </w:r>
          </w:p>
        </w:tc>
        <w:tc>
          <w:tcPr>
            <w:tcW w:type="dxa" w:w="1500"/>
            <w:shd w:fill="0A2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Owner / function</w:t>
            </w:r>
          </w:p>
        </w:tc>
        <w:tc>
          <w:tcPr>
            <w:tcW w:type="dxa" w:w="1100"/>
            <w:shd w:fill="0A2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Timing</w:t>
            </w:r>
          </w:p>
        </w:tc>
        <w:tc>
          <w:tcPr>
            <w:tcW w:type="dxa" w:w="4260"/>
            <w:shd w:fill="0A2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Indicator + decision trigger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i w:val="0"/>
                <w:color w:val="111827"/>
                <w:sz w:val="20"/>
              </w:rPr>
              <w:t>Release stage 1; preserve the stage-2 option.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i w:val="0"/>
                <w:color w:val="111827"/>
                <w:sz w:val="20"/>
              </w:rPr>
              <w:t>CFO + BU</w:t>
            </w:r>
          </w:p>
        </w:tc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i w:val="0"/>
                <w:color w:val="111827"/>
                <w:sz w:val="20"/>
              </w:rPr>
              <w:t>Next budget cycle</w:t>
            </w:r>
          </w:p>
        </w:tc>
        <w:tc>
          <w:tcPr>
            <w:tcW w:type="dxa" w:w="42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i w:val="0"/>
                <w:color w:val="111827"/>
                <w:sz w:val="20"/>
              </w:rPr>
              <w:t>Proceed if [demand KPI] and [return/cash guardrail] hold.</w:t>
            </w:r>
          </w:p>
        </w:tc>
      </w:tr>
      <w:tr>
        <w:trPr>
          <w:cantSplit/>
        </w:trPr>
        <w:tc>
          <w:tcPr>
            <w:tcW w:type="dxa" w:w="2500"/>
            <w:shd w:fill="F7F3ED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i w:val="0"/>
                <w:color w:val="111827"/>
                <w:sz w:val="20"/>
              </w:rPr>
              <w:t>Validate demand conversion and capacity.</w:t>
            </w:r>
          </w:p>
        </w:tc>
        <w:tc>
          <w:tcPr>
            <w:tcW w:type="dxa" w:w="1500"/>
            <w:shd w:fill="F7F3ED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i w:val="0"/>
                <w:color w:val="111827"/>
                <w:sz w:val="20"/>
              </w:rPr>
              <w:t>Sales + operations</w:t>
            </w:r>
          </w:p>
        </w:tc>
        <w:tc>
          <w:tcPr>
            <w:tcW w:type="dxa" w:w="1100"/>
            <w:shd w:fill="F7F3ED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i w:val="0"/>
                <w:color w:val="111827"/>
                <w:sz w:val="20"/>
              </w:rPr>
              <w:t>Before gate 2</w:t>
            </w:r>
          </w:p>
        </w:tc>
        <w:tc>
          <w:tcPr>
            <w:tcW w:type="dxa" w:w="4260"/>
            <w:shd w:fill="F7F3ED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i w:val="0"/>
                <w:color w:val="111827"/>
                <w:sz w:val="20"/>
              </w:rPr>
              <w:t>Pause if [conversion/lead-time KPI] misses [trigger].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i w:val="0"/>
                <w:color w:val="111827"/>
                <w:sz w:val="20"/>
              </w:rPr>
              <w:t>Protect liquidity during the ramp.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i w:val="0"/>
                <w:color w:val="111827"/>
                <w:sz w:val="20"/>
              </w:rPr>
              <w:t>Treasury + finance</w:t>
            </w:r>
          </w:p>
        </w:tc>
        <w:tc>
          <w:tcPr>
            <w:tcW w:type="dxa" w:w="1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i w:val="0"/>
                <w:color w:val="111827"/>
                <w:sz w:val="20"/>
              </w:rPr>
              <w:t>Monthly</w:t>
            </w:r>
          </w:p>
        </w:tc>
        <w:tc>
          <w:tcPr>
            <w:tcW w:type="dxa" w:w="42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i w:val="0"/>
                <w:color w:val="111827"/>
                <w:sz w:val="20"/>
              </w:rPr>
              <w:t>Revise pace if [cash/leverage KPI] breaches [limit].</w:t>
            </w:r>
          </w:p>
        </w:tc>
      </w:tr>
    </w:tbl>
    <w:p>
      <w:pPr>
        <w:pStyle w:val="Heading1"/>
        <w:shd w:fill="EAF2F8"/>
      </w:pPr>
      <w:r>
        <w:rPr>
          <w:rFonts w:ascii="Calibri" w:hAnsi="Calibri"/>
          <w:b/>
          <w:color w:val="175FA9"/>
          <w:sz w:val="24"/>
        </w:rPr>
        <w:t>Principal Risks, Tradeoffs &amp; Mitigations</w:t>
      </w:r>
    </w:p>
    <w:p>
      <w:pPr>
        <w:spacing w:before="0" w:after="20" w:line="240" w:lineRule="auto"/>
      </w:pPr>
      <w:r>
        <w:rPr>
          <w:rFonts w:ascii="Calibri" w:hAnsi="Calibri"/>
          <w:b/>
          <w:color w:val="C66A3D"/>
          <w:sz w:val="20"/>
        </w:rPr>
        <w:t xml:space="preserve">1. </w:t>
      </w:r>
      <w:r>
        <w:rPr>
          <w:rFonts w:ascii="Calibri" w:hAnsi="Calibri"/>
          <w:i w:val="0"/>
          <w:color w:val="111827"/>
          <w:sz w:val="20"/>
        </w:rPr>
        <w:t>Demand conversion — Tradeoff: speed vs. option value. Mitigation: gated funding and stop review.</w:t>
      </w:r>
    </w:p>
    <w:p>
      <w:pPr>
        <w:spacing w:before="0" w:after="20" w:line="240" w:lineRule="auto"/>
      </w:pPr>
      <w:r>
        <w:rPr>
          <w:rFonts w:ascii="Calibri" w:hAnsi="Calibri"/>
          <w:b/>
          <w:color w:val="C66A3D"/>
          <w:sz w:val="20"/>
        </w:rPr>
        <w:t xml:space="preserve">2. </w:t>
      </w:r>
      <w:r>
        <w:rPr>
          <w:rFonts w:ascii="Calibri" w:hAnsi="Calibri"/>
          <w:i w:val="0"/>
          <w:color w:val="111827"/>
          <w:sz w:val="20"/>
        </w:rPr>
        <w:t>Cash absorption — Tradeoff: growth vs. liquidity. Mitigation: funding cap and monthly dashboard.</w:t>
      </w:r>
    </w:p>
    <w:p>
      <w:pPr>
        <w:spacing w:before="0" w:after="20" w:line="240" w:lineRule="auto"/>
      </w:pPr>
      <w:r>
        <w:rPr>
          <w:rFonts w:ascii="Calibri" w:hAnsi="Calibri"/>
          <w:b/>
          <w:color w:val="C66A3D"/>
          <w:sz w:val="20"/>
        </w:rPr>
        <w:t xml:space="preserve">3. </w:t>
      </w:r>
      <w:r>
        <w:rPr>
          <w:rFonts w:ascii="Calibri" w:hAnsi="Calibri"/>
          <w:i w:val="0"/>
          <w:color w:val="111827"/>
          <w:sz w:val="20"/>
        </w:rPr>
        <w:t>Capacity readiness — Tradeoff: commitment vs. service. Mitigation: readiness test and phased scope.</w:t>
      </w:r>
    </w:p>
    <w:p>
      <w:pPr>
        <w:pStyle w:val="Heading1"/>
        <w:shd w:fill="EAF2F8"/>
      </w:pPr>
      <w:r>
        <w:rPr>
          <w:rFonts w:ascii="Calibri" w:hAnsi="Calibri"/>
          <w:b/>
          <w:color w:val="175FA9"/>
          <w:sz w:val="24"/>
        </w:rPr>
        <w:t>Sources &amp; AI-Use Disclosure</w:t>
      </w:r>
    </w:p>
    <w:p>
      <w:pPr>
        <w:spacing w:before="0" w:after="10" w:line="240" w:lineRule="auto"/>
      </w:pPr>
      <w:r>
        <w:rPr>
          <w:rFonts w:ascii="Calibri" w:hAnsi="Calibri"/>
          <w:i w:val="0"/>
          <w:color w:val="5E6B75"/>
          <w:sz w:val="17"/>
        </w:rPr>
        <w:t>S1 — [Company], Form 10-K, filed [date], FY [year], Item 1 and MD&amp;A pp. [x–y], [claim], [units/definition].</w:t>
      </w:r>
    </w:p>
    <w:p>
      <w:pPr>
        <w:spacing w:before="0" w:after="10" w:line="240" w:lineRule="auto"/>
      </w:pPr>
      <w:r>
        <w:rPr>
          <w:rFonts w:ascii="Calibri" w:hAnsi="Calibri"/>
          <w:i w:val="0"/>
          <w:color w:val="5E6B75"/>
          <w:sz w:val="17"/>
        </w:rPr>
        <w:t>F1 — FactSet, [report/screen/metric], data through [date], accessed [date], [units/definition], [peer group/rationale].</w:t>
      </w:r>
    </w:p>
    <w:p>
      <w:pPr>
        <w:spacing w:before="0" w:after="10" w:line="240" w:lineRule="auto"/>
      </w:pPr>
      <w:r>
        <w:rPr>
          <w:rFonts w:ascii="Calibri" w:hAnsi="Calibri"/>
          <w:i w:val="0"/>
          <w:color w:val="5E6B75"/>
          <w:sz w:val="17"/>
        </w:rPr>
        <w:t>M1 — BUS311 valuation model v[date], [base/upside/downside output and sensitivity], reconciled to [named inputs].</w:t>
      </w:r>
    </w:p>
    <w:p>
      <w:pPr>
        <w:spacing w:before="0" w:after="0" w:line="240" w:lineRule="auto"/>
      </w:pPr>
      <w:r>
        <w:rPr>
          <w:rFonts w:ascii="Calibri" w:hAnsi="Calibri"/>
          <w:b/>
          <w:color w:val="0A2540"/>
          <w:sz w:val="17"/>
        </w:rPr>
        <w:t xml:space="preserve">AI use — </w:t>
      </w:r>
      <w:r>
        <w:rPr>
          <w:rFonts w:ascii="Calibri" w:hAnsi="Calibri"/>
          <w:i w:val="0"/>
          <w:color w:val="111827"/>
          <w:sz w:val="17"/>
        </w:rPr>
        <w:t>I used [tool/equivalent] to challenge the hypothesis and retained [challenge] only after checking [S1/F1/M1]; I modified the claim above and rejected unsupported assertions. I uploaded no raw FactSet data/screenshots, nonpublic or personal information, or instructor-only material.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5E6B75"/>
        <w:sz w:val="16"/>
      </w:rPr>
      <w:t>Executive summary  |  One U.S. Letter page  |  100% print scale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color w:val="5E6B75"/>
        <w:sz w:val="16"/>
      </w:rPr>
      <w:t>BUS311 Corporate Finance  |  Individual Company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5" w:lineRule="auto"/>
    </w:pPr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75FA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BUS311 One-Page Executive Summary — Sanitized Pattern Example</dc:title>
  <dc:subject>Evidence-safe CFO and Board writing pattern</dc:subject>
  <dc:creator>BUS311 Corporate Finance</dc:creator>
  <cp:keywords/>
  <dc:description>Sanitized pattern with masked company facts and no unsupported company figures. Guide hash: 4718ced6d1bea725; rubric hash: d2a6d9101f1d6004.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