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Calibri" w:hAnsi="Calibri"/>
          <w:b/>
          <w:color w:val="C66A3D"/>
          <w:sz w:val="17"/>
        </w:rPr>
        <w:t>EDITABLE STUDENT TEMPLATE</w:t>
      </w:r>
    </w:p>
    <w:p>
      <w:pPr>
        <w:spacing w:before="0" w:after="20" w:line="240" w:lineRule="auto"/>
      </w:pPr>
      <w:r>
        <w:rPr>
          <w:rFonts w:ascii="Calibri" w:hAnsi="Calibri"/>
          <w:b/>
          <w:color w:val="0A2540"/>
          <w:sz w:val="34"/>
        </w:rPr>
        <w:t>EXECUTIVE DECISION SUMMARY</w:t>
      </w:r>
    </w:p>
    <w:p>
      <w:pPr>
        <w:spacing w:before="0" w:after="60" w:line="240" w:lineRule="auto"/>
      </w:pPr>
      <w:r>
        <w:rPr>
          <w:rFonts w:ascii="Calibri" w:hAnsi="Calibri"/>
          <w:b/>
          <w:color w:val="0A2540"/>
          <w:sz w:val="17"/>
        </w:rPr>
        <w:t xml:space="preserve">To: </w:t>
      </w:r>
      <w:r>
        <w:rPr>
          <w:rFonts w:ascii="Calibri" w:hAnsi="Calibri"/>
          <w:color w:val="111827"/>
          <w:sz w:val="17"/>
        </w:rPr>
        <w:t>CFO and Board</w:t>
      </w:r>
      <w:r>
        <w:rPr>
          <w:rFonts w:ascii="Calibri" w:hAnsi="Calibri"/>
          <w:color w:val="C8D1D9"/>
          <w:sz w:val="17"/>
        </w:rPr>
        <w:t xml:space="preserve">   |   </w:t>
      </w:r>
      <w:r>
        <w:rPr>
          <w:rFonts w:ascii="Calibri" w:hAnsi="Calibri"/>
          <w:b/>
          <w:color w:val="0A2540"/>
          <w:sz w:val="17"/>
        </w:rPr>
        <w:t xml:space="preserve">Company: </w:t>
      </w:r>
      <w:r>
        <w:rPr>
          <w:rFonts w:ascii="Calibri" w:hAnsi="Calibri"/>
          <w:color w:val="111827"/>
          <w:sz w:val="17"/>
        </w:rPr>
        <w:t>[Company legal name]</w:t>
      </w:r>
      <w:r>
        <w:rPr>
          <w:rFonts w:ascii="Calibri" w:hAnsi="Calibri"/>
          <w:color w:val="C8D1D9"/>
          <w:sz w:val="17"/>
        </w:rPr>
        <w:t xml:space="preserve">   |   </w:t>
      </w:r>
      <w:r>
        <w:rPr>
          <w:rFonts w:ascii="Calibri" w:hAnsi="Calibri"/>
          <w:b/>
          <w:color w:val="0A2540"/>
          <w:sz w:val="17"/>
        </w:rPr>
        <w:t xml:space="preserve">Ticker: </w:t>
      </w:r>
      <w:r>
        <w:rPr>
          <w:rFonts w:ascii="Calibri" w:hAnsi="Calibri"/>
          <w:color w:val="111827"/>
          <w:sz w:val="17"/>
        </w:rPr>
        <w:t>[Ticker]</w:t>
      </w:r>
      <w:r>
        <w:rPr>
          <w:rFonts w:ascii="Calibri" w:hAnsi="Calibri"/>
          <w:color w:val="C8D1D9"/>
          <w:sz w:val="17"/>
        </w:rPr>
        <w:t xml:space="preserve">   |   </w:t>
      </w:r>
      <w:r>
        <w:rPr>
          <w:rFonts w:ascii="Calibri" w:hAnsi="Calibri"/>
          <w:b/>
          <w:color w:val="0A2540"/>
          <w:sz w:val="17"/>
        </w:rPr>
        <w:t xml:space="preserve">From: </w:t>
      </w:r>
      <w:r>
        <w:rPr>
          <w:rFonts w:ascii="Calibri" w:hAnsi="Calibri"/>
          <w:color w:val="111827"/>
          <w:sz w:val="17"/>
        </w:rPr>
        <w:t>[Student name]</w:t>
      </w:r>
      <w:r>
        <w:rPr>
          <w:rFonts w:ascii="Calibri" w:hAnsi="Calibri"/>
          <w:color w:val="C8D1D9"/>
          <w:sz w:val="17"/>
        </w:rPr>
        <w:t xml:space="preserve">   |   </w:t>
      </w:r>
      <w:r>
        <w:rPr>
          <w:rFonts w:ascii="Calibri" w:hAnsi="Calibri"/>
          <w:b/>
          <w:color w:val="0A2540"/>
          <w:sz w:val="17"/>
        </w:rPr>
        <w:t xml:space="preserve">Date: </w:t>
      </w:r>
      <w:r>
        <w:rPr>
          <w:rFonts w:ascii="Calibri" w:hAnsi="Calibri"/>
          <w:color w:val="111827"/>
          <w:sz w:val="17"/>
        </w:rPr>
        <w:t>[Date]</w:t>
      </w:r>
    </w:p>
    <w:p>
      <w:pPr>
        <w:spacing w:before="20" w:after="60" w:line="245" w:lineRule="auto"/>
        <w:shd w:fill="F7F3ED"/>
        <w:pBdr>
          <w:top w:val="single" w:sz="6" w:space="3" w:color="C8D1D9"/>
          <w:left w:val="single" w:sz="6" w:space="3" w:color="C8D1D9"/>
          <w:bottom w:val="single" w:sz="6" w:space="3" w:color="C8D1D9"/>
          <w:right w:val="single" w:sz="6" w:space="3" w:color="C8D1D9"/>
        </w:pBdr>
      </w:pPr>
      <w:r>
        <w:rPr>
          <w:rFonts w:ascii="Calibri" w:hAnsi="Calibri"/>
          <w:b/>
          <w:color w:val="0A2540"/>
          <w:sz w:val="20"/>
        </w:rPr>
        <w:t xml:space="preserve">DECISION REQUESTED  </w:t>
      </w:r>
      <w:r>
        <w:rPr>
          <w:rFonts w:ascii="Calibri" w:hAnsi="Calibri"/>
          <w:i/>
          <w:color w:val="5E6B75"/>
          <w:sz w:val="20"/>
        </w:rPr>
        <w:t>[One specific action question the CFO and Board must approve. State the genuine alternatives in a compact phrase.]</w:t>
      </w:r>
      <w:r>
        <w:rPr>
          <w:rFonts w:ascii="Calibri" w:hAnsi="Calibri"/>
          <w:b/>
          <w:color w:val="0A2540"/>
          <w:sz w:val="20"/>
        </w:rPr>
        <w:br/>
        <w:t xml:space="preserve">RECOMMENDATION  </w:t>
      </w:r>
      <w:r>
        <w:rPr>
          <w:rFonts w:ascii="Calibri" w:hAnsi="Calibri"/>
          <w:i/>
          <w:color w:val="5E6B75"/>
          <w:sz w:val="20"/>
        </w:rPr>
        <w:t>[One primary action and why it is preferred. Name the two or three supporting actions below rather than hiding the conclusion.]</w:t>
      </w:r>
    </w:p>
    <w:p>
      <w:pPr>
        <w:pStyle w:val="Heading1"/>
        <w:shd w:fill="EAF2F8"/>
      </w:pPr>
      <w:r>
        <w:rPr>
          <w:rFonts w:ascii="Calibri" w:hAnsi="Calibri"/>
          <w:b/>
          <w:color w:val="175FA9"/>
          <w:sz w:val="24"/>
        </w:rPr>
        <w:t>Revenue Engine &amp; Operating Thesis</w:t>
      </w:r>
    </w:p>
    <w:p>
      <w:pPr>
        <w:spacing w:before="0" w:after="40" w:line="245" w:lineRule="auto"/>
      </w:pPr>
      <w:r>
        <w:rPr>
          <w:rFonts w:ascii="Calibri" w:hAnsi="Calibri"/>
          <w:i/>
          <w:color w:val="5E6B75"/>
          <w:sz w:val="20"/>
        </w:rPr>
        <w:t>[In about 55–75 words, explain how the company earns revenue, the few drivers and leading indicators that matter most, what is durable versus temporary, and why this operating evidence changes the requested decision. Add source IDs.]</w:t>
      </w:r>
    </w:p>
    <w:p>
      <w:pPr>
        <w:pStyle w:val="Heading1"/>
        <w:shd w:fill="EAF2F8"/>
      </w:pPr>
      <w:r>
        <w:rPr>
          <w:rFonts w:ascii="Calibri" w:hAnsi="Calibri"/>
          <w:b/>
          <w:color w:val="175FA9"/>
          <w:sz w:val="24"/>
        </w:rPr>
        <w:t>Testable Revenue Hypothesis &amp; Red-Team Revision</w:t>
      </w:r>
    </w:p>
    <w:p>
      <w:pPr>
        <w:spacing w:before="0" w:after="40" w:line="245" w:lineRule="auto"/>
      </w:pPr>
      <w:r>
        <w:rPr>
          <w:rFonts w:ascii="Calibri" w:hAnsi="Calibri"/>
          <w:i/>
          <w:color w:val="5E6B75"/>
          <w:sz w:val="20"/>
        </w:rPr>
        <w:t>[State the final mechanism → expected effect → period → support/falsifier claim. Name the strongest skeptical challenge, the SEC/FactSet/model evidence checked, and whether you accepted, modified, or rejected it.]</w:t>
      </w:r>
    </w:p>
    <w:p>
      <w:pPr>
        <w:pStyle w:val="Heading1"/>
        <w:shd w:fill="EAF2F8"/>
      </w:pPr>
      <w:r>
        <w:rPr>
          <w:rFonts w:ascii="Calibri" w:hAnsi="Calibri"/>
          <w:b/>
          <w:color w:val="175FA9"/>
          <w:sz w:val="24"/>
        </w:rPr>
        <w:t>Valuation &amp; Scenario Conclusion</w:t>
      </w:r>
    </w:p>
    <w:p>
      <w:pPr>
        <w:spacing w:before="0" w:after="40" w:line="245" w:lineRule="auto"/>
      </w:pPr>
      <w:r>
        <w:rPr>
          <w:rFonts w:ascii="Calibri" w:hAnsi="Calibri"/>
          <w:i/>
          <w:color w:val="5E6B75"/>
          <w:sz w:val="20"/>
        </w:rPr>
        <w:t>[In about 45–65 words, state what the assessed base/upside/downside cases imply, which operating assumptions drive the difference, the principal limitation, and the condition that would change the recommendation. Do not narrate formulas.]</w:t>
      </w:r>
    </w:p>
    <w:p>
      <w:pPr>
        <w:pStyle w:val="Heading1"/>
        <w:shd w:fill="EAF2F8"/>
      </w:pPr>
      <w:r>
        <w:rPr>
          <w:rFonts w:ascii="Calibri" w:hAnsi="Calibri"/>
          <w:b/>
          <w:color w:val="175FA9"/>
          <w:sz w:val="24"/>
        </w:rPr>
        <w:t>Recommended Actions &amp; Implementation</w:t>
      </w:r>
    </w:p>
    <w:tbl>
      <w:tblPr>
        <w:tblStyle w:val="TableGrid"/>
        <w:tblW w:type="dxa" w:w="9360"/>
        <w:jc w:val="left"/>
        <w:tblLayout w:type="fixed"/>
        <w:tblLook w:firstColumn="1" w:firstRow="1" w:lastColumn="0" w:lastRow="0" w:noHBand="0" w:noVBand="1" w:val="04A0"/>
        <w:tblInd w:w="120" w:type="dxa"/>
        <w:tblBorders>
          <w:top w:val="single" w:sz="6" w:space="0" w:color="C8D1D9"/>
          <w:left w:val="single" w:sz="6" w:space="0" w:color="C8D1D9"/>
          <w:bottom w:val="single" w:sz="6" w:space="0" w:color="C8D1D9"/>
          <w:right w:val="single" w:sz="6" w:space="0" w:color="C8D1D9"/>
          <w:insideH w:val="single" w:sz="6" w:space="0" w:color="C8D1D9"/>
          <w:insideV w:val="single" w:sz="6" w:space="0" w:color="C8D1D9"/>
        </w:tblBorders>
      </w:tblPr>
      <w:tblGrid>
        <w:gridCol w:w="2500"/>
        <w:gridCol w:w="1500"/>
        <w:gridCol w:w="1100"/>
        <w:gridCol w:w="4260"/>
      </w:tblGrid>
      <w:tr>
        <w:trPr>
          <w:tblHeader w:val="true"/>
          <w:cantSplit/>
        </w:trPr>
        <w:tc>
          <w:tcPr>
            <w:tcW w:type="dxa" w:w="2500"/>
            <w:shd w:fill="0A2540"/>
            <w:tcMar>
              <w:top w:w="70" w:type="dxa"/>
              <w:start w:w="100" w:type="dxa"/>
              <w:bottom w:w="70" w:type="dxa"/>
              <w:end w:w="100" w:type="dxa"/>
            </w:tcMar>
            <w:vAlign w:val="center"/>
          </w:tcPr>
          <w:p>
            <w:pPr>
              <w:spacing w:before="0" w:after="0" w:line="240" w:lineRule="auto"/>
            </w:pPr>
            <w:r/>
            <w:r>
              <w:rPr>
                <w:rFonts w:ascii="Calibri" w:hAnsi="Calibri"/>
                <w:b/>
                <w:color w:val="FFFFFF"/>
                <w:sz w:val="17"/>
              </w:rPr>
              <w:t>Priority action</w:t>
            </w:r>
          </w:p>
        </w:tc>
        <w:tc>
          <w:tcPr>
            <w:tcW w:type="dxa" w:w="1500"/>
            <w:shd w:fill="0A2540"/>
            <w:tcMar>
              <w:top w:w="70" w:type="dxa"/>
              <w:start w:w="100" w:type="dxa"/>
              <w:bottom w:w="70" w:type="dxa"/>
              <w:end w:w="100" w:type="dxa"/>
            </w:tcMar>
            <w:vAlign w:val="center"/>
          </w:tcPr>
          <w:p>
            <w:pPr>
              <w:spacing w:before="0" w:after="0" w:line="240" w:lineRule="auto"/>
            </w:pPr>
            <w:r/>
            <w:r>
              <w:rPr>
                <w:rFonts w:ascii="Calibri" w:hAnsi="Calibri"/>
                <w:b/>
                <w:color w:val="FFFFFF"/>
                <w:sz w:val="17"/>
              </w:rPr>
              <w:t>Owner / function</w:t>
            </w:r>
          </w:p>
        </w:tc>
        <w:tc>
          <w:tcPr>
            <w:tcW w:type="dxa" w:w="1100"/>
            <w:shd w:fill="0A2540"/>
            <w:tcMar>
              <w:top w:w="70" w:type="dxa"/>
              <w:start w:w="100" w:type="dxa"/>
              <w:bottom w:w="70" w:type="dxa"/>
              <w:end w:w="100" w:type="dxa"/>
            </w:tcMar>
            <w:vAlign w:val="center"/>
          </w:tcPr>
          <w:p>
            <w:pPr>
              <w:spacing w:before="0" w:after="0" w:line="240" w:lineRule="auto"/>
            </w:pPr>
            <w:r/>
            <w:r>
              <w:rPr>
                <w:rFonts w:ascii="Calibri" w:hAnsi="Calibri"/>
                <w:b/>
                <w:color w:val="FFFFFF"/>
                <w:sz w:val="17"/>
              </w:rPr>
              <w:t>Timing</w:t>
            </w:r>
          </w:p>
        </w:tc>
        <w:tc>
          <w:tcPr>
            <w:tcW w:type="dxa" w:w="4260"/>
            <w:shd w:fill="0A2540"/>
            <w:tcMar>
              <w:top w:w="70" w:type="dxa"/>
              <w:start w:w="100" w:type="dxa"/>
              <w:bottom w:w="70" w:type="dxa"/>
              <w:end w:w="100" w:type="dxa"/>
            </w:tcMar>
            <w:vAlign w:val="center"/>
          </w:tcPr>
          <w:p>
            <w:pPr>
              <w:spacing w:before="0" w:after="0" w:line="240" w:lineRule="auto"/>
            </w:pPr>
            <w:r/>
            <w:r>
              <w:rPr>
                <w:rFonts w:ascii="Calibri" w:hAnsi="Calibri"/>
                <w:b/>
                <w:color w:val="FFFFFF"/>
                <w:sz w:val="17"/>
              </w:rPr>
              <w:t>Indicator + decision trigger</w:t>
            </w:r>
          </w:p>
        </w:tc>
      </w:tr>
      <w:tr>
        <w:trPr>
          <w:cantSplit/>
        </w:trPr>
        <w:tc>
          <w:tcPr>
            <w:tcW w:type="dxa" w:w="2500"/>
            <w:tcMar>
              <w:top w:w="70" w:type="dxa"/>
              <w:start w:w="100" w:type="dxa"/>
              <w:bottom w:w="70" w:type="dxa"/>
              <w:end w:w="100" w:type="dxa"/>
            </w:tcMar>
            <w:vAlign w:val="center"/>
          </w:tcPr>
          <w:p>
            <w:pPr>
              <w:spacing w:before="0" w:after="0" w:line="240" w:lineRule="auto"/>
            </w:pPr>
            <w:r/>
            <w:r>
              <w:rPr>
                <w:rFonts w:ascii="Calibri" w:hAnsi="Calibri"/>
                <w:i/>
                <w:color w:val="5E6B75"/>
                <w:sz w:val="20"/>
              </w:rPr>
              <w:t>[1. Supporting action and purpose]</w:t>
            </w:r>
          </w:p>
        </w:tc>
        <w:tc>
          <w:tcPr>
            <w:tcW w:type="dxa" w:w="1500"/>
            <w:tcMar>
              <w:top w:w="70" w:type="dxa"/>
              <w:start w:w="100" w:type="dxa"/>
              <w:bottom w:w="70" w:type="dxa"/>
              <w:end w:w="100" w:type="dxa"/>
            </w:tcMar>
            <w:vAlign w:val="center"/>
          </w:tcPr>
          <w:p>
            <w:pPr>
              <w:spacing w:before="0" w:after="0" w:line="240" w:lineRule="auto"/>
            </w:pPr>
            <w:r/>
            <w:r>
              <w:rPr>
                <w:rFonts w:ascii="Calibri" w:hAnsi="Calibri"/>
                <w:i/>
                <w:color w:val="5E6B75"/>
                <w:sz w:val="20"/>
              </w:rPr>
              <w:t>[Executive / team]</w:t>
            </w:r>
          </w:p>
        </w:tc>
        <w:tc>
          <w:tcPr>
            <w:tcW w:type="dxa" w:w="1100"/>
            <w:tcMar>
              <w:top w:w="70" w:type="dxa"/>
              <w:start w:w="100" w:type="dxa"/>
              <w:bottom w:w="70" w:type="dxa"/>
              <w:end w:w="100" w:type="dxa"/>
            </w:tcMar>
            <w:vAlign w:val="center"/>
          </w:tcPr>
          <w:p>
            <w:pPr>
              <w:spacing w:before="0" w:after="0" w:line="240" w:lineRule="auto"/>
            </w:pPr>
            <w:r/>
            <w:r>
              <w:rPr>
                <w:rFonts w:ascii="Calibri" w:hAnsi="Calibri"/>
                <w:i/>
                <w:color w:val="5E6B75"/>
                <w:sz w:val="20"/>
              </w:rPr>
              <w:t>[Start / gate]</w:t>
            </w:r>
          </w:p>
        </w:tc>
        <w:tc>
          <w:tcPr>
            <w:tcW w:type="dxa" w:w="4260"/>
            <w:tcMar>
              <w:top w:w="70" w:type="dxa"/>
              <w:start w:w="100" w:type="dxa"/>
              <w:bottom w:w="70" w:type="dxa"/>
              <w:end w:w="100" w:type="dxa"/>
            </w:tcMar>
            <w:vAlign w:val="center"/>
          </w:tcPr>
          <w:p>
            <w:pPr>
              <w:spacing w:before="0" w:after="0" w:line="240" w:lineRule="auto"/>
            </w:pPr>
            <w:r/>
            <w:r>
              <w:rPr>
                <w:rFonts w:ascii="Calibri" w:hAnsi="Calibri"/>
                <w:i/>
                <w:color w:val="5E6B75"/>
                <w:sz w:val="20"/>
              </w:rPr>
              <w:t>[KPI; proceed/pause/revise trigger]</w:t>
            </w:r>
          </w:p>
        </w:tc>
      </w:tr>
      <w:tr>
        <w:trPr>
          <w:cantSplit/>
        </w:trPr>
        <w:tc>
          <w:tcPr>
            <w:tcW w:type="dxa" w:w="2500"/>
            <w:shd w:fill="F7F3ED"/>
            <w:tcMar>
              <w:top w:w="70" w:type="dxa"/>
              <w:start w:w="100" w:type="dxa"/>
              <w:bottom w:w="70" w:type="dxa"/>
              <w:end w:w="100" w:type="dxa"/>
            </w:tcMar>
            <w:vAlign w:val="center"/>
          </w:tcPr>
          <w:p>
            <w:pPr>
              <w:spacing w:before="0" w:after="0" w:line="240" w:lineRule="auto"/>
            </w:pPr>
            <w:r/>
            <w:r>
              <w:rPr>
                <w:rFonts w:ascii="Calibri" w:hAnsi="Calibri"/>
                <w:i/>
                <w:color w:val="5E6B75"/>
                <w:sz w:val="20"/>
              </w:rPr>
              <w:t>[2. Supporting action and purpose]</w:t>
            </w:r>
          </w:p>
        </w:tc>
        <w:tc>
          <w:tcPr>
            <w:tcW w:type="dxa" w:w="1500"/>
            <w:shd w:fill="F7F3ED"/>
            <w:tcMar>
              <w:top w:w="70" w:type="dxa"/>
              <w:start w:w="100" w:type="dxa"/>
              <w:bottom w:w="70" w:type="dxa"/>
              <w:end w:w="100" w:type="dxa"/>
            </w:tcMar>
            <w:vAlign w:val="center"/>
          </w:tcPr>
          <w:p>
            <w:pPr>
              <w:spacing w:before="0" w:after="0" w:line="240" w:lineRule="auto"/>
            </w:pPr>
            <w:r/>
            <w:r>
              <w:rPr>
                <w:rFonts w:ascii="Calibri" w:hAnsi="Calibri"/>
                <w:i/>
                <w:color w:val="5E6B75"/>
                <w:sz w:val="20"/>
              </w:rPr>
              <w:t>[Executive / team]</w:t>
            </w:r>
          </w:p>
        </w:tc>
        <w:tc>
          <w:tcPr>
            <w:tcW w:type="dxa" w:w="1100"/>
            <w:shd w:fill="F7F3ED"/>
            <w:tcMar>
              <w:top w:w="70" w:type="dxa"/>
              <w:start w:w="100" w:type="dxa"/>
              <w:bottom w:w="70" w:type="dxa"/>
              <w:end w:w="100" w:type="dxa"/>
            </w:tcMar>
            <w:vAlign w:val="center"/>
          </w:tcPr>
          <w:p>
            <w:pPr>
              <w:spacing w:before="0" w:after="0" w:line="240" w:lineRule="auto"/>
            </w:pPr>
            <w:r/>
            <w:r>
              <w:rPr>
                <w:rFonts w:ascii="Calibri" w:hAnsi="Calibri"/>
                <w:i/>
                <w:color w:val="5E6B75"/>
                <w:sz w:val="20"/>
              </w:rPr>
              <w:t>[Start / gate]</w:t>
            </w:r>
          </w:p>
        </w:tc>
        <w:tc>
          <w:tcPr>
            <w:tcW w:type="dxa" w:w="4260"/>
            <w:shd w:fill="F7F3ED"/>
            <w:tcMar>
              <w:top w:w="70" w:type="dxa"/>
              <w:start w:w="100" w:type="dxa"/>
              <w:bottom w:w="70" w:type="dxa"/>
              <w:end w:w="100" w:type="dxa"/>
            </w:tcMar>
            <w:vAlign w:val="center"/>
          </w:tcPr>
          <w:p>
            <w:pPr>
              <w:spacing w:before="0" w:after="0" w:line="240" w:lineRule="auto"/>
            </w:pPr>
            <w:r/>
            <w:r>
              <w:rPr>
                <w:rFonts w:ascii="Calibri" w:hAnsi="Calibri"/>
                <w:i/>
                <w:color w:val="5E6B75"/>
                <w:sz w:val="20"/>
              </w:rPr>
              <w:t>[KPI; proceed/pause/revise trigger]</w:t>
            </w:r>
          </w:p>
        </w:tc>
      </w:tr>
      <w:tr>
        <w:trPr>
          <w:cantSplit/>
        </w:trPr>
        <w:tc>
          <w:tcPr>
            <w:tcW w:type="dxa" w:w="2500"/>
            <w:tcMar>
              <w:top w:w="70" w:type="dxa"/>
              <w:start w:w="100" w:type="dxa"/>
              <w:bottom w:w="70" w:type="dxa"/>
              <w:end w:w="100" w:type="dxa"/>
            </w:tcMar>
            <w:vAlign w:val="center"/>
          </w:tcPr>
          <w:p>
            <w:pPr>
              <w:spacing w:before="0" w:after="0" w:line="240" w:lineRule="auto"/>
            </w:pPr>
            <w:r/>
            <w:r>
              <w:rPr>
                <w:rFonts w:ascii="Calibri" w:hAnsi="Calibri"/>
                <w:i/>
                <w:color w:val="5E6B75"/>
                <w:sz w:val="20"/>
              </w:rPr>
              <w:t>[3. Supporting action, if needed]</w:t>
            </w:r>
          </w:p>
        </w:tc>
        <w:tc>
          <w:tcPr>
            <w:tcW w:type="dxa" w:w="1500"/>
            <w:tcMar>
              <w:top w:w="70" w:type="dxa"/>
              <w:start w:w="100" w:type="dxa"/>
              <w:bottom w:w="70" w:type="dxa"/>
              <w:end w:w="100" w:type="dxa"/>
            </w:tcMar>
            <w:vAlign w:val="center"/>
          </w:tcPr>
          <w:p>
            <w:pPr>
              <w:spacing w:before="0" w:after="0" w:line="240" w:lineRule="auto"/>
            </w:pPr>
            <w:r/>
            <w:r>
              <w:rPr>
                <w:rFonts w:ascii="Calibri" w:hAnsi="Calibri"/>
                <w:i/>
                <w:color w:val="5E6B75"/>
                <w:sz w:val="20"/>
              </w:rPr>
              <w:t>[Executive / team]</w:t>
            </w:r>
          </w:p>
        </w:tc>
        <w:tc>
          <w:tcPr>
            <w:tcW w:type="dxa" w:w="1100"/>
            <w:tcMar>
              <w:top w:w="70" w:type="dxa"/>
              <w:start w:w="100" w:type="dxa"/>
              <w:bottom w:w="70" w:type="dxa"/>
              <w:end w:w="100" w:type="dxa"/>
            </w:tcMar>
            <w:vAlign w:val="center"/>
          </w:tcPr>
          <w:p>
            <w:pPr>
              <w:spacing w:before="0" w:after="0" w:line="240" w:lineRule="auto"/>
            </w:pPr>
            <w:r/>
            <w:r>
              <w:rPr>
                <w:rFonts w:ascii="Calibri" w:hAnsi="Calibri"/>
                <w:i/>
                <w:color w:val="5E6B75"/>
                <w:sz w:val="20"/>
              </w:rPr>
              <w:t>[Start / gate]</w:t>
            </w:r>
          </w:p>
        </w:tc>
        <w:tc>
          <w:tcPr>
            <w:tcW w:type="dxa" w:w="4260"/>
            <w:tcMar>
              <w:top w:w="70" w:type="dxa"/>
              <w:start w:w="100" w:type="dxa"/>
              <w:bottom w:w="70" w:type="dxa"/>
              <w:end w:w="100" w:type="dxa"/>
            </w:tcMar>
            <w:vAlign w:val="center"/>
          </w:tcPr>
          <w:p>
            <w:pPr>
              <w:spacing w:before="0" w:after="0" w:line="240" w:lineRule="auto"/>
            </w:pPr>
            <w:r/>
            <w:r>
              <w:rPr>
                <w:rFonts w:ascii="Calibri" w:hAnsi="Calibri"/>
                <w:i/>
                <w:color w:val="5E6B75"/>
                <w:sz w:val="20"/>
              </w:rPr>
              <w:t>[KPI; proceed/pause/revise trigger]</w:t>
            </w:r>
          </w:p>
        </w:tc>
      </w:tr>
    </w:tbl>
    <w:p>
      <w:pPr>
        <w:pStyle w:val="Heading1"/>
        <w:shd w:fill="EAF2F8"/>
      </w:pPr>
      <w:r>
        <w:rPr>
          <w:rFonts w:ascii="Calibri" w:hAnsi="Calibri"/>
          <w:b/>
          <w:color w:val="175FA9"/>
          <w:sz w:val="24"/>
        </w:rPr>
        <w:t>Principal Risks, Tradeoffs &amp; Mitigations</w:t>
      </w:r>
    </w:p>
    <w:p>
      <w:pPr>
        <w:spacing w:before="0" w:after="20" w:line="240" w:lineRule="auto"/>
      </w:pPr>
      <w:r>
        <w:rPr>
          <w:rFonts w:ascii="Calibri" w:hAnsi="Calibri"/>
          <w:b/>
          <w:color w:val="C66A3D"/>
          <w:sz w:val="20"/>
        </w:rPr>
        <w:t xml:space="preserve">1. </w:t>
      </w:r>
      <w:r>
        <w:rPr>
          <w:rFonts w:ascii="Calibri" w:hAnsi="Calibri"/>
          <w:i/>
          <w:color w:val="5E6B75"/>
          <w:sz w:val="20"/>
        </w:rPr>
        <w:t>[Risk mechanism] — Tradeoff: [what the company gives up]. Mitigation: [specific control or response].</w:t>
      </w:r>
    </w:p>
    <w:p>
      <w:pPr>
        <w:spacing w:before="0" w:after="20" w:line="240" w:lineRule="auto"/>
      </w:pPr>
      <w:r>
        <w:rPr>
          <w:rFonts w:ascii="Calibri" w:hAnsi="Calibri"/>
          <w:b/>
          <w:color w:val="C66A3D"/>
          <w:sz w:val="20"/>
        </w:rPr>
        <w:t xml:space="preserve">2. </w:t>
      </w:r>
      <w:r>
        <w:rPr>
          <w:rFonts w:ascii="Calibri" w:hAnsi="Calibri"/>
          <w:i/>
          <w:color w:val="5E6B75"/>
          <w:sz w:val="20"/>
        </w:rPr>
        <w:t>[Risk mechanism] — Tradeoff: [what the company gives up]. Mitigation: [specific control or response].</w:t>
      </w:r>
    </w:p>
    <w:p>
      <w:pPr>
        <w:spacing w:before="0" w:after="20" w:line="240" w:lineRule="auto"/>
      </w:pPr>
      <w:r>
        <w:rPr>
          <w:rFonts w:ascii="Calibri" w:hAnsi="Calibri"/>
          <w:b/>
          <w:color w:val="C66A3D"/>
          <w:sz w:val="20"/>
        </w:rPr>
        <w:t xml:space="preserve">3. </w:t>
      </w:r>
      <w:r>
        <w:rPr>
          <w:rFonts w:ascii="Calibri" w:hAnsi="Calibri"/>
          <w:i/>
          <w:color w:val="5E6B75"/>
          <w:sz w:val="20"/>
        </w:rPr>
        <w:t>[Optional third material risk] — Tradeoff: [decision consequence]. Mitigation: [response and owner].</w:t>
      </w:r>
    </w:p>
    <w:p>
      <w:pPr>
        <w:pStyle w:val="Heading1"/>
        <w:shd w:fill="EAF2F8"/>
      </w:pPr>
      <w:r>
        <w:rPr>
          <w:rFonts w:ascii="Calibri" w:hAnsi="Calibri"/>
          <w:b/>
          <w:color w:val="175FA9"/>
          <w:sz w:val="24"/>
        </w:rPr>
        <w:t>Sources &amp; AI-Use Disclosure</w:t>
      </w:r>
    </w:p>
    <w:p>
      <w:pPr>
        <w:spacing w:before="0" w:after="10" w:line="240" w:lineRule="auto"/>
      </w:pPr>
      <w:r>
        <w:rPr>
          <w:rFonts w:ascii="Calibri" w:hAnsi="Calibri"/>
          <w:i/>
          <w:color w:val="5E6B75"/>
          <w:sz w:val="17"/>
        </w:rPr>
        <w:t>S1 — [Company], Form [10-K/10-Q/8-K], filed [date], [period], Item/page/table, [claim], [units/definition].</w:t>
      </w:r>
    </w:p>
    <w:p>
      <w:pPr>
        <w:spacing w:before="0" w:after="10" w:line="240" w:lineRule="auto"/>
      </w:pPr>
      <w:r>
        <w:rPr>
          <w:rFonts w:ascii="Calibri" w:hAnsi="Calibri"/>
          <w:i/>
          <w:color w:val="5E6B75"/>
          <w:sz w:val="17"/>
        </w:rPr>
        <w:t>F1 — FactSet, [report/screen/metric], data through [date], accessed [date], [units/definition/peer group].</w:t>
      </w:r>
    </w:p>
    <w:p>
      <w:pPr>
        <w:spacing w:before="0" w:after="10" w:line="240" w:lineRule="auto"/>
      </w:pPr>
      <w:r>
        <w:rPr>
          <w:rFonts w:ascii="Calibri" w:hAnsi="Calibri"/>
          <w:i/>
          <w:color w:val="5E6B75"/>
          <w:sz w:val="17"/>
        </w:rPr>
        <w:t>M1 — BUS311 model v[date], [scenario/output/sensitivity], reconciled to [named source inputs].</w:t>
      </w:r>
    </w:p>
    <w:p>
      <w:pPr>
        <w:spacing w:before="0" w:after="0" w:line="240" w:lineRule="auto"/>
      </w:pPr>
      <w:r>
        <w:rPr>
          <w:rFonts w:ascii="Calibri" w:hAnsi="Calibri"/>
          <w:b/>
          <w:color w:val="0A2540"/>
          <w:sz w:val="17"/>
        </w:rPr>
        <w:t xml:space="preserve">AI use — </w:t>
      </w:r>
      <w:r>
        <w:rPr>
          <w:rFonts w:ascii="Calibri" w:hAnsi="Calibri"/>
          <w:i/>
          <w:color w:val="5E6B75"/>
          <w:sz w:val="17"/>
        </w:rPr>
        <w:t>[Tool/equivalent process]; bounded purpose; output retained; SEC/FactSet/Excel/course verification; accept/modify/reject judgment; privacy/licensing confirmation.</w:t>
      </w:r>
    </w:p>
    <w:sectPr w:rsidR="00FC693F" w:rsidRPr="0006063C" w:rsidSect="00034616">
      <w:headerReference w:type="default" r:id="rId9"/>
      <w:footerReference w:type="default" r:id="rId10"/>
      <w:pgSz w:w="12240" w:h="15840"/>
      <w:pgMar w:top="1440" w:right="1440" w:bottom="1440"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E6B75"/>
        <w:sz w:val="16"/>
      </w:rPr>
      <w:t>Executive summary  |  One U.S. Letter page  |  100% print scale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E6B75"/>
        <w:sz w:val="16"/>
      </w:rPr>
      <w:t>BUS311 Corporate Finance  |  Individual Company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5" w:lineRule="auto"/>
    </w:pPr>
    <w:rPr>
      <w:rFonts w:ascii="Calibri" w:hAnsi="Calibri"/>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40"/>
      <w:outlineLvl w:val="0"/>
    </w:pPr>
    <w:rPr>
      <w:rFonts w:asciiTheme="majorHAnsi" w:eastAsiaTheme="majorEastAsia" w:hAnsiTheme="majorHAnsi" w:cstheme="majorBidi" w:ascii="Calibri" w:hAnsi="Calibri"/>
      <w:b/>
      <w:bCs/>
      <w:color w:val="175FA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BUS311 One-Page Executive Summary — Editable Student Template</dc:title>
  <dc:subject>CFO and Board decision summary template</dc:subject>
  <dc:creator>BUS311 Corporate Finance</dc:creator>
  <cp:keywords/>
  <dc:description>Requirements: BUS311-capstone-executive-summary-student-guide.md (4718ced6d1bea725); master rubric: BUS311-capstone-rubric-schema.json (d2a6d9101f1d6004)</dc:description>
  <cp:lastModifiedBy/>
  <cp:revision>1</cp:revision>
  <dcterms:created xsi:type="dcterms:W3CDTF">2013-12-23T23:15:00Z</dcterms:created>
  <dcterms:modified xsi:type="dcterms:W3CDTF">2013-12-23T23:15:00Z</dcterms:modified>
  <cp:category/>
</cp:coreProperties>
</file>