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auto"/>
      </w:pPr>
      <w:r>
        <w:rPr>
          <w:rFonts w:ascii="Calibri" w:hAnsi="Calibri"/>
          <w:b/>
          <w:color w:val="C66A3D"/>
          <w:sz w:val="22"/>
        </w:rPr>
        <w:t>BUS311 CAPSTONE MILESTONE 2</w:t>
      </w:r>
    </w:p>
    <w:p>
      <w:pPr>
        <w:spacing w:before="0" w:after="160" w:line="264" w:lineRule="auto"/>
      </w:pPr>
      <w:r>
        <w:rPr>
          <w:rFonts w:ascii="Calibri" w:hAnsi="Calibri"/>
          <w:b/>
          <w:color w:val="0A2540"/>
          <w:sz w:val="46"/>
        </w:rPr>
        <w:t>Revenue Hypothesis Quality Checklist</w:t>
      </w:r>
    </w:p>
    <w:p>
      <w:pPr>
        <w:spacing w:before="0" w:after="280" w:line="264" w:lineRule="auto"/>
      </w:pPr>
      <w:r>
        <w:rPr>
          <w:rFonts w:ascii="Calibri" w:hAnsi="Calibri"/>
          <w:color w:val="5E6B75"/>
          <w:sz w:val="20"/>
        </w:rPr>
        <w:t>Individual company capstone | Instructor-review draft | Student-facing | Fall 2026</w:t>
      </w:r>
    </w:p>
    <w:p>
      <w:pPr>
        <w:pBdr>
          <w:bottom w:val="single" w:sz="16" w:space="1" w:color="175FA9"/>
        </w:pBdr>
        <w:spacing w:after="200"/>
      </w:pPr>
    </w:p>
    <w:p>
      <w:pPr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>Document status:</w:t>
      </w:r>
      <w:r>
        <w:rPr>
          <w:rFonts w:ascii="Calibri" w:hAnsi="Calibri"/>
          <w:color w:val="000000"/>
          <w:sz w:val="22"/>
        </w:rPr>
        <w:t xml:space="preserve"> Instructor-review draft | </w:t>
      </w:r>
      <w:r>
        <w:rPr>
          <w:rFonts w:ascii="Calibri" w:hAnsi="Calibri"/>
          <w:b/>
          <w:color w:val="000000"/>
          <w:sz w:val="22"/>
        </w:rPr>
        <w:t>Updated:</w:t>
      </w:r>
      <w:r>
        <w:rPr>
          <w:rFonts w:ascii="Calibri" w:hAnsi="Calibri"/>
          <w:color w:val="000000"/>
          <w:sz w:val="22"/>
        </w:rPr>
        <w:t xml:space="preserve"> July 29, 2026</w:t>
      </w:r>
    </w:p>
    <w:p>
      <w:pPr>
        <w:spacing w:before="0" w:after="120" w:line="264" w:lineRule="auto"/>
      </w:pPr>
      <w:r>
        <w:rPr>
          <w:rFonts w:ascii="Calibri" w:hAnsi="Calibri"/>
          <w:color w:val="000000"/>
          <w:sz w:val="22"/>
        </w:rPr>
        <w:t>Use this checklist before the skeptical-CFO challenge and again after revising the hypothesis. A hypothesis is ready only when every required item can be answered with company-specific evidence. “Not disclosed” is a limitation to manage, not a reason to invent a number.</w:t>
      </w:r>
    </w:p>
    <w:p>
      <w:pPr>
        <w:pStyle w:val="Heading2"/>
      </w:pPr>
      <w:r>
        <w:rPr>
          <w:rFonts w:ascii="Calibri" w:hAnsi="Calibri"/>
          <w:color w:val="175FA9"/>
          <w:sz w:val="26"/>
        </w:rPr>
        <w:t>A. One-sentence hypothesis</w:t>
      </w:r>
    </w:p>
    <w:p>
      <w:pPr>
        <w:spacing w:before="80" w:after="160" w:line="264" w:lineRule="auto"/>
        <w:ind w:left="360" w:right="216"/>
        <w:shd w:fill="F7E9E2"/>
      </w:pPr>
      <w:r>
        <w:rPr>
          <w:rFonts w:ascii="Calibri" w:hAnsi="Calibri"/>
          <w:i/>
          <w:color w:val="0A2540"/>
          <w:sz w:val="22"/>
        </w:rPr>
        <w:t xml:space="preserve">Over </w:t>
      </w:r>
      <w:r>
        <w:rPr>
          <w:rFonts w:ascii="Calibri" w:hAnsi="Calibri"/>
          <w:b/>
          <w:i/>
          <w:color w:val="0A2540"/>
          <w:sz w:val="22"/>
        </w:rPr>
        <w:t>[period]</w:t>
      </w:r>
      <w:r>
        <w:rPr>
          <w:rFonts w:ascii="Calibri" w:hAnsi="Calibri"/>
          <w:i/>
          <w:color w:val="0A2540"/>
          <w:sz w:val="22"/>
        </w:rPr>
        <w:t xml:space="preserve">, </w:t>
      </w:r>
      <w:r>
        <w:rPr>
          <w:rFonts w:ascii="Calibri" w:hAnsi="Calibri"/>
          <w:b/>
          <w:i/>
          <w:color w:val="0A2540"/>
          <w:sz w:val="22"/>
        </w:rPr>
        <w:t>[company-specific driver or mechanism]</w:t>
      </w:r>
      <w:r>
        <w:rPr>
          <w:rFonts w:ascii="Calibri" w:hAnsi="Calibri"/>
          <w:i/>
          <w:color w:val="0A2540"/>
          <w:sz w:val="22"/>
        </w:rPr>
        <w:t xml:space="preserve"> will </w:t>
      </w:r>
      <w:r>
        <w:rPr>
          <w:rFonts w:ascii="Calibri" w:hAnsi="Calibri"/>
          <w:b/>
          <w:i/>
          <w:color w:val="0A2540"/>
          <w:sz w:val="22"/>
        </w:rPr>
        <w:t>[directional revenue or margin effect]</w:t>
      </w:r>
      <w:r>
        <w:rPr>
          <w:rFonts w:ascii="Calibri" w:hAnsi="Calibri"/>
          <w:i/>
          <w:color w:val="0A2540"/>
          <w:sz w:val="22"/>
        </w:rPr>
        <w:t xml:space="preserve"> because </w:t>
      </w:r>
      <w:r>
        <w:rPr>
          <w:rFonts w:ascii="Calibri" w:hAnsi="Calibri"/>
          <w:b/>
          <w:i/>
          <w:color w:val="0A2540"/>
          <w:sz w:val="22"/>
        </w:rPr>
        <w:t>[causal logic]</w:t>
      </w:r>
      <w:r>
        <w:rPr>
          <w:rFonts w:ascii="Calibri" w:hAnsi="Calibri"/>
          <w:i/>
          <w:color w:val="0A2540"/>
          <w:sz w:val="22"/>
        </w:rPr>
        <w:t xml:space="preserve">. I would weaken or reject this claim if </w:t>
      </w:r>
      <w:r>
        <w:rPr>
          <w:rFonts w:ascii="Calibri" w:hAnsi="Calibri"/>
          <w:b/>
          <w:i/>
          <w:color w:val="0A2540"/>
          <w:sz w:val="22"/>
        </w:rPr>
        <w:t>[observable falsification evidence]</w:t>
      </w:r>
      <w:r>
        <w:rPr>
          <w:rFonts w:ascii="Calibri" w:hAnsi="Calibri"/>
          <w:i/>
          <w:color w:val="0A2540"/>
          <w:sz w:val="22"/>
        </w:rPr>
        <w:t xml:space="preserve"> occurs.</w:t>
      </w:r>
    </w:p>
    <w:p>
      <w:pPr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>Student draft:</w:t>
      </w:r>
      <w:r>
        <w:rPr>
          <w:rFonts w:ascii="Calibri" w:hAnsi="Calibri"/>
          <w:color w:val="000000"/>
          <w:sz w:val="22"/>
        </w:rPr>
        <w:t xml:space="preserve"> [Type here.]</w:t>
      </w:r>
    </w:p>
    <w:p>
      <w:pPr>
        <w:pStyle w:val="Heading2"/>
      </w:pPr>
      <w:r>
        <w:rPr>
          <w:rFonts w:ascii="Calibri" w:hAnsi="Calibri"/>
          <w:color w:val="175FA9"/>
          <w:sz w:val="26"/>
        </w:rPr>
        <w:t>B. Required quality checks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480"/>
        <w:gridCol w:w="3680"/>
      </w:tblGrid>
      <w:tr>
        <w:trPr>
          <w:tblHeader w:val="true"/>
          <w:cantSplit/>
        </w:trPr>
        <w:tc>
          <w:tcPr>
            <w:tcW w:type="dxa" w:w="220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9"/>
              </w:rPr>
              <w:t>Check</w:t>
            </w:r>
          </w:p>
        </w:tc>
        <w:tc>
          <w:tcPr>
            <w:tcW w:type="dxa" w:w="348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9"/>
              </w:rPr>
              <w:t>Yes / revise</w:t>
            </w:r>
          </w:p>
        </w:tc>
        <w:tc>
          <w:tcPr>
            <w:tcW w:type="dxa" w:w="368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9"/>
              </w:rPr>
              <w:t>Evidence ID or revision note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Specific driver:</w:t>
            </w:r>
            <w:r>
              <w:rPr>
                <w:rFonts w:ascii="Calibri" w:hAnsi="Calibri"/>
                <w:color w:val="000000"/>
                <w:sz w:val="19"/>
              </w:rPr>
              <w:t xml:space="preserve"> The claim names a company-relevant operating driver rather than “the economy,” “management,” or “growth” in general.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Causal mechanism:</w:t>
            </w:r>
            <w:r>
              <w:rPr>
                <w:rFonts w:ascii="Calibri" w:hAnsi="Calibri"/>
                <w:color w:val="000000"/>
                <w:sz w:val="19"/>
              </w:rPr>
              <w:t xml:space="preserve"> The claim explains how the driver reaches revenue or margin.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Directional effect:</w:t>
            </w:r>
            <w:r>
              <w:rPr>
                <w:rFonts w:ascii="Calibri" w:hAnsi="Calibri"/>
                <w:color w:val="000000"/>
                <w:sz w:val="19"/>
              </w:rPr>
              <w:t xml:space="preserve"> The expected effect is clear enough to translate into a forecast assumption.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Defined period:</w:t>
            </w:r>
            <w:r>
              <w:rPr>
                <w:rFonts w:ascii="Calibri" w:hAnsi="Calibri"/>
                <w:color w:val="000000"/>
                <w:sz w:val="19"/>
              </w:rPr>
              <w:t xml:space="preserve"> The claim states a fiscal year, forecast window, or decision horizon.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Company evidence:</w:t>
            </w:r>
            <w:r>
              <w:rPr>
                <w:rFonts w:ascii="Calibri" w:hAnsi="Calibri"/>
                <w:color w:val="000000"/>
                <w:sz w:val="19"/>
              </w:rPr>
              <w:t xml:space="preserve"> At least two independent pieces of SEC, FactSet, Excel, or other credible evidence support testing the claim.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Leading indicator:</w:t>
            </w:r>
            <w:r>
              <w:rPr>
                <w:rFonts w:ascii="Calibri" w:hAnsi="Calibri"/>
                <w:color w:val="000000"/>
                <w:sz w:val="19"/>
              </w:rPr>
              <w:t xml:space="preserve"> At least one observable measure should move before or with the expected revenue effect.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Falsification evidence:</w:t>
            </w:r>
            <w:r>
              <w:rPr>
                <w:rFonts w:ascii="Calibri" w:hAnsi="Calibri"/>
                <w:color w:val="000000"/>
                <w:sz w:val="19"/>
              </w:rPr>
              <w:t xml:space="preserve"> A reasonable observation could weaken or disprove the claim; the hypothesis cannot be true under every outcome.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Alternative explanation:</w:t>
            </w:r>
            <w:r>
              <w:rPr>
                <w:rFonts w:ascii="Calibri" w:hAnsi="Calibri"/>
                <w:color w:val="000000"/>
                <w:sz w:val="19"/>
              </w:rPr>
              <w:t xml:space="preserve"> At least one other plausible cause is named and can be compared with the preferred explanation.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Comparability:</w:t>
            </w:r>
            <w:r>
              <w:rPr>
                <w:rFonts w:ascii="Calibri" w:hAnsi="Calibri"/>
                <w:color w:val="000000"/>
                <w:sz w:val="19"/>
              </w:rPr>
              <w:t xml:space="preserve"> Definitions, units, fiscal periods, and segment changes are sufficiently consistent or limitations are stated.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No unsupported precision:</w:t>
            </w:r>
            <w:r>
              <w:rPr>
                <w:rFonts w:ascii="Calibri" w:hAnsi="Calibri"/>
                <w:color w:val="000000"/>
                <w:sz w:val="19"/>
              </w:rPr>
              <w:t xml:space="preserve"> Any threshold or magnitude is sourced, calculated, or clearly labeled as a later scenario assumption.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Scenario linkage:</w:t>
            </w:r>
            <w:r>
              <w:rPr>
                <w:rFonts w:ascii="Calibri" w:hAnsi="Calibri"/>
                <w:color w:val="000000"/>
                <w:sz w:val="19"/>
              </w:rPr>
              <w:t xml:space="preserve"> Base, upside, and downside cases change the named driver or its effect—not an unrelated valuation output.</w:t>
            </w:r>
          </w:p>
        </w:tc>
        <w:tc>
          <w:tcPr>
            <w:tcW w:type="dxa" w:w="3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  <w:tr>
        <w:trPr>
          <w:cantSplit/>
        </w:trPr>
        <w:tc>
          <w:tcPr>
            <w:tcW w:type="dxa" w:w="22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CFO decision linkage:</w:t>
            </w:r>
            <w:r>
              <w:rPr>
                <w:rFonts w:ascii="Calibri" w:hAnsi="Calibri"/>
                <w:color w:val="000000"/>
                <w:sz w:val="19"/>
              </w:rPr>
              <w:t xml:space="preserve"> The evidence could change whether the CFO accelerates, stages, pauses, modifies, or rejects the approved action.</w:t>
            </w:r>
          </w:p>
        </w:tc>
        <w:tc>
          <w:tcPr>
            <w:tcW w:type="dxa" w:w="34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 ]</w:t>
            </w:r>
          </w:p>
        </w:tc>
        <w:tc>
          <w:tcPr>
            <w:tcW w:type="dxa" w:w="368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9"/>
              </w:rPr>
              <w:t>[Type here.]</w:t>
            </w:r>
          </w:p>
        </w:tc>
      </w:tr>
    </w:tbl>
    <w:p>
      <w:pPr>
        <w:spacing w:before="0" w:after="40" w:line="264" w:lineRule="auto"/>
      </w:pPr>
    </w:p>
    <w:p>
      <w:pPr>
        <w:pStyle w:val="Heading2"/>
      </w:pPr>
      <w:r>
        <w:rPr>
          <w:rFonts w:ascii="Calibri" w:hAnsi="Calibri"/>
          <w:color w:val="175FA9"/>
          <w:sz w:val="26"/>
        </w:rPr>
        <w:t>C. Fast diagnostic</w:t>
      </w:r>
    </w:p>
    <w:p>
      <w:pPr>
        <w:spacing w:before="0" w:after="120" w:line="264" w:lineRule="auto"/>
      </w:pPr>
      <w:r>
        <w:rPr>
          <w:rFonts w:ascii="Calibri" w:hAnsi="Calibri"/>
          <w:color w:val="000000"/>
          <w:sz w:val="22"/>
        </w:rPr>
        <w:t>Revise the hypothesis if any statement below is true: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It predicts only that revenue “will grow” or “will decline.”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It relies on a stock-price target, valuation multiple, or analyst rating as the cause of revenue.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It names several unrelated drivers so that no single claim can be tested.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It confuses correlation with causation and does not name an alternative explanation.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It cannot be weakened by any observable evidence.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It uses a percentage, market share, peer average, or company figure with no traceable source or calculation.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It describes past performance but does not affect a future assumption or the CFO decision.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It requires nonpublic information or a metric the company does not disclose and cannot be reasonably proxied.</w:t>
      </w:r>
    </w:p>
    <w:p>
      <w:pPr>
        <w:pStyle w:val="Heading2"/>
      </w:pPr>
      <w:r>
        <w:rPr>
          <w:rFonts w:ascii="Calibri" w:hAnsi="Calibri"/>
          <w:color w:val="175FA9"/>
          <w:sz w:val="26"/>
        </w:rPr>
        <w:t>D. Scenario and decision bridge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700"/>
        <w:gridCol w:w="2350"/>
        <w:gridCol w:w="1600"/>
        <w:gridCol w:w="1260"/>
      </w:tblGrid>
      <w:tr>
        <w:trPr>
          <w:tblHeader w:val="true"/>
          <w:cantSplit/>
        </w:trPr>
        <w:tc>
          <w:tcPr>
            <w:tcW w:type="dxa" w:w="145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Case</w:t>
            </w:r>
          </w:p>
        </w:tc>
        <w:tc>
          <w:tcPr>
            <w:tcW w:type="dxa" w:w="270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Driver assumption</w:t>
            </w:r>
          </w:p>
        </w:tc>
        <w:tc>
          <w:tcPr>
            <w:tcW w:type="dxa" w:w="235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Observable indicator or trigger</w:t>
            </w:r>
          </w:p>
        </w:tc>
        <w:tc>
          <w:tcPr>
            <w:tcW w:type="dxa" w:w="160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Forecast effect</w:t>
            </w:r>
          </w:p>
        </w:tc>
        <w:tc>
          <w:tcPr>
            <w:tcW w:type="dxa" w:w="1260"/>
            <w:shd w:fill="EAF2F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A2540"/>
                <w:sz w:val="17"/>
              </w:rPr>
              <w:t>CFO response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Base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</w:tr>
      <w:tr>
        <w:trPr>
          <w:cantSplit/>
        </w:trPr>
        <w:tc>
          <w:tcPr>
            <w:tcW w:type="dxa" w:w="14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Upside</w:t>
            </w:r>
          </w:p>
        </w:tc>
        <w:tc>
          <w:tcPr>
            <w:tcW w:type="dxa" w:w="27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235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160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1260"/>
            <w:shd w:fill="F7F3E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Downside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left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  <w:tc>
          <w:tcPr>
            <w:tcW w:type="dxa" w:w="1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  <w:jc w:val="center"/>
            </w:pPr>
            <w:r/>
            <w:r>
              <w:rPr>
                <w:rFonts w:ascii="Calibri" w:hAnsi="Calibri"/>
                <w:color w:val="000000"/>
                <w:sz w:val="17"/>
              </w:rPr>
              <w:t>[Type here.]</w:t>
            </w:r>
          </w:p>
        </w:tc>
      </w:tr>
    </w:tbl>
    <w:p>
      <w:pPr>
        <w:spacing w:before="0" w:after="40" w:line="264" w:lineRule="auto"/>
      </w:pPr>
    </w:p>
    <w:p>
      <w:pPr>
        <w:pStyle w:val="Heading2"/>
      </w:pPr>
      <w:r>
        <w:rPr>
          <w:rFonts w:ascii="Calibri" w:hAnsi="Calibri"/>
          <w:color w:val="175FA9"/>
          <w:sz w:val="26"/>
        </w:rPr>
        <w:t>E. Skeptical-CFO judgment</w:t>
      </w:r>
    </w:p>
    <w:p>
      <w:pPr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>Strongest challenge or alternative explanation:</w:t>
      </w:r>
      <w:r>
        <w:rPr>
          <w:rFonts w:ascii="Calibri" w:hAnsi="Calibri"/>
          <w:color w:val="000000"/>
          <w:sz w:val="22"/>
        </w:rPr>
        <w:t xml:space="preserve"> [Type here.]</w:t>
      </w:r>
    </w:p>
    <w:p>
      <w:pPr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>Evidence checked independently:</w:t>
      </w:r>
      <w:r>
        <w:rPr>
          <w:rFonts w:ascii="Calibri" w:hAnsi="Calibri"/>
          <w:color w:val="000000"/>
          <w:sz w:val="22"/>
        </w:rPr>
        <w:t xml:space="preserve"> [List evidence IDs.]</w:t>
      </w:r>
    </w:p>
    <w:p>
      <w:pPr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>Judgment:</w:t>
      </w:r>
      <w:r>
        <w:rPr>
          <w:rFonts w:ascii="Calibri" w:hAnsi="Calibri"/>
          <w:color w:val="000000"/>
          <w:sz w:val="22"/>
        </w:rPr>
        <w:t xml:space="preserve"> [Accept / Modify / Reject the challenge.]</w:t>
      </w:r>
    </w:p>
    <w:p>
      <w:pPr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>Why:</w:t>
      </w:r>
      <w:r>
        <w:rPr>
          <w:rFonts w:ascii="Calibri" w:hAnsi="Calibri"/>
          <w:color w:val="000000"/>
          <w:sz w:val="22"/>
        </w:rPr>
        <w:t xml:space="preserve"> [Type here.]</w:t>
      </w:r>
    </w:p>
    <w:p>
      <w:pPr>
        <w:spacing w:before="0" w:after="120" w:line="264" w:lineRule="auto"/>
      </w:pPr>
      <w:r>
        <w:rPr>
          <w:rFonts w:ascii="Calibri" w:hAnsi="Calibri"/>
          <w:b/>
          <w:color w:val="000000"/>
          <w:sz w:val="22"/>
        </w:rPr>
        <w:t>Revised hypothesis:</w:t>
      </w:r>
      <w:r>
        <w:rPr>
          <w:rFonts w:ascii="Calibri" w:hAnsi="Calibri"/>
          <w:color w:val="000000"/>
          <w:sz w:val="22"/>
        </w:rPr>
        <w:t xml:space="preserve"> [Type here.]</w:t>
      </w:r>
    </w:p>
    <w:p>
      <w:pPr>
        <w:pStyle w:val="Heading2"/>
        <w:pageBreakBefore/>
      </w:pPr>
      <w:r>
        <w:rPr>
          <w:rFonts w:ascii="Calibri" w:hAnsi="Calibri"/>
          <w:color w:val="175FA9"/>
          <w:sz w:val="26"/>
        </w:rPr>
        <w:t>F. Final student confirmation</w:t>
      </w:r>
    </w:p>
    <w:p>
      <w:pPr>
        <w:spacing w:before="0" w:after="120" w:line="264" w:lineRule="auto"/>
        <w:ind w:left="360"/>
      </w:pPr>
      <w:r>
        <w:rPr>
          <w:rFonts w:ascii="Calibri" w:hAnsi="Calibri"/>
          <w:color w:val="000000"/>
          <w:sz w:val="22"/>
        </w:rPr>
        <w:t>☐ I can identify the source, date, definition, period, and limitation for every material fact used.</w:t>
      </w:r>
    </w:p>
    <w:p>
      <w:pPr>
        <w:spacing w:before="0" w:after="120" w:line="264" w:lineRule="auto"/>
        <w:ind w:left="360"/>
      </w:pPr>
      <w:r>
        <w:rPr>
          <w:rFonts w:ascii="Calibri" w:hAnsi="Calibri"/>
          <w:color w:val="000000"/>
          <w:sz w:val="22"/>
        </w:rPr>
        <w:t>☐ I did not upload a workbook, raw FactSet export, FactSet screenshot, personal information, instructor-only material, or nonpublic company information to a public AI tool.</w:t>
      </w:r>
    </w:p>
    <w:p>
      <w:pPr>
        <w:spacing w:before="0" w:after="120" w:line="264" w:lineRule="auto"/>
        <w:ind w:left="360"/>
      </w:pPr>
      <w:r>
        <w:rPr>
          <w:rFonts w:ascii="Calibri" w:hAnsi="Calibri"/>
          <w:color w:val="000000"/>
          <w:sz w:val="22"/>
        </w:rPr>
        <w:t>☐ AI output, if used, challenged my reasoning but did not become a financial source.</w:t>
      </w:r>
    </w:p>
    <w:p>
      <w:pPr>
        <w:spacing w:before="0" w:after="120" w:line="264" w:lineRule="auto"/>
        <w:ind w:left="360"/>
      </w:pPr>
      <w:r>
        <w:rPr>
          <w:rFonts w:ascii="Calibri" w:hAnsi="Calibri"/>
          <w:color w:val="000000"/>
          <w:sz w:val="22"/>
        </w:rPr>
        <w:t>☐ I—not AI—made the final hypothesis and accept/modify/reject judgment.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E6B75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E6B75"/>
        <w:sz w:val="18"/>
      </w:rPr>
      <w:t>BUS311 Corporate Finance  |  Individual Company Capstone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75FA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75F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A25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 capstone milestone 2 hypothesis quality checklist</dc:title>
  <dc:subject>BUS311 Capstone Milestone 2</dc:subject>
  <dc:creator>Professor Bethany Evitts</dc:creator>
  <cp:keywords/>
  <dc:description>Maintained source: BUS311-capstone-milestone-2-hypothesis-quality-checklist.md; SHA-256: 4534e35ec3200a2b8d434567b1e070a4201fbc78c072173cd3ea11f0a061817a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