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64" w:lineRule="auto"/>
      </w:pPr>
      <w:r>
        <w:rPr>
          <w:rFonts w:ascii="Calibri" w:hAnsi="Calibri"/>
          <w:b/>
          <w:color w:val="C66A3D"/>
          <w:sz w:val="22"/>
        </w:rPr>
        <w:t>BUS311 CAPSTONE MILESTONE 2</w:t>
      </w:r>
    </w:p>
    <w:p>
      <w:pPr>
        <w:spacing w:before="0" w:after="160" w:line="264" w:lineRule="auto"/>
      </w:pPr>
      <w:r>
        <w:rPr>
          <w:rFonts w:ascii="Calibri" w:hAnsi="Calibri"/>
          <w:b/>
          <w:color w:val="0A2540"/>
          <w:sz w:val="46"/>
        </w:rPr>
        <w:t>Revenue Engine and Initial Hypothesis Student Guide</w:t>
      </w:r>
    </w:p>
    <w:p>
      <w:pPr>
        <w:spacing w:before="0" w:after="280" w:line="264" w:lineRule="auto"/>
      </w:pPr>
      <w:r>
        <w:rPr>
          <w:rFonts w:ascii="Calibri" w:hAnsi="Calibri"/>
          <w:color w:val="5E6B75"/>
          <w:sz w:val="20"/>
        </w:rPr>
        <w:t>Individual company capstone | Instructor-review draft | Student-facing | Fall 2026</w:t>
      </w:r>
    </w:p>
    <w:p>
      <w:pPr>
        <w:pBdr>
          <w:bottom w:val="single" w:sz="16" w:space="1" w:color="175FA9"/>
        </w:pBdr>
        <w:spacing w:after="200"/>
      </w:pPr>
    </w:p>
    <w:p>
      <w:pPr>
        <w:spacing w:before="0" w:after="120" w:line="264" w:lineRule="auto"/>
      </w:pPr>
      <w:r>
        <w:rPr>
          <w:rFonts w:ascii="Calibri" w:hAnsi="Calibri"/>
          <w:b/>
          <w:color w:val="000000"/>
          <w:sz w:val="22"/>
        </w:rPr>
        <w:t>Document status:</w:t>
      </w:r>
      <w:r>
        <w:rPr>
          <w:rFonts w:ascii="Calibri" w:hAnsi="Calibri"/>
          <w:color w:val="000000"/>
          <w:sz w:val="22"/>
        </w:rPr>
        <w:t xml:space="preserve"> Instructor-review draft | </w:t>
      </w:r>
      <w:r>
        <w:rPr>
          <w:rFonts w:ascii="Calibri" w:hAnsi="Calibri"/>
          <w:b/>
          <w:color w:val="000000"/>
          <w:sz w:val="22"/>
        </w:rPr>
        <w:t>Student-facing</w:t>
      </w:r>
      <w:r>
        <w:rPr>
          <w:rFonts w:ascii="Calibri" w:hAnsi="Calibri"/>
          <w:color w:val="000000"/>
          <w:sz w:val="22"/>
        </w:rPr>
        <w:t xml:space="preserve"> | </w:t>
      </w:r>
      <w:r>
        <w:rPr>
          <w:rFonts w:ascii="Calibri" w:hAnsi="Calibri"/>
          <w:b/>
          <w:color w:val="000000"/>
          <w:sz w:val="22"/>
        </w:rPr>
        <w:t>Updated:</w:t>
      </w:r>
      <w:r>
        <w:rPr>
          <w:rFonts w:ascii="Calibri" w:hAnsi="Calibri"/>
          <w:color w:val="000000"/>
          <w:sz w:val="22"/>
        </w:rPr>
        <w:t xml:space="preserve"> July 29, 2026</w:t>
      </w:r>
    </w:p>
    <w:p>
      <w:pPr>
        <w:spacing w:before="0" w:after="120" w:line="264" w:lineRule="auto"/>
      </w:pPr>
      <w:r>
        <w:rPr>
          <w:rFonts w:ascii="Calibri" w:hAnsi="Calibri"/>
          <w:color w:val="000000"/>
          <w:sz w:val="22"/>
        </w:rPr>
        <w:t>Milestone 2 makes revenue generation the operating foundation of your individual company capstone. Before you build a valuation, you must show how the company earns sales, what changed over three to five fiscal years, which operating drivers matter, and what evidence could support or disprove one revenue hypothesis.</w:t>
      </w:r>
    </w:p>
    <w:p>
      <w:pPr>
        <w:spacing w:before="80" w:after="160" w:line="264" w:lineRule="auto"/>
        <w:ind w:left="360" w:right="216"/>
        <w:shd w:fill="F7E9E2"/>
      </w:pPr>
      <w:r>
        <w:rPr>
          <w:rFonts w:ascii="Calibri" w:hAnsi="Calibri"/>
          <w:i/>
          <w:color w:val="0A2540"/>
          <w:sz w:val="22"/>
        </w:rPr>
        <w:t>The CFO and Board need an operating explanation before they need a valuation. Market valuation may show expectations or consequences, but it cannot replace the revenue engine, historical evidence, or a testable hypothesis.</w:t>
      </w:r>
    </w:p>
    <w:p>
      <w:pPr>
        <w:pStyle w:val="Heading2"/>
      </w:pPr>
      <w:r>
        <w:rPr>
          <w:rFonts w:ascii="Calibri" w:hAnsi="Calibri"/>
          <w:color w:val="175FA9"/>
          <w:sz w:val="26"/>
        </w:rPr>
        <w:t>What you submit</w:t>
      </w:r>
    </w:p>
    <w:p>
      <w:pPr>
        <w:spacing w:before="0" w:after="120" w:line="264" w:lineRule="auto"/>
      </w:pPr>
      <w:r>
        <w:rPr>
          <w:rFonts w:ascii="Calibri" w:hAnsi="Calibri"/>
          <w:color w:val="000000"/>
          <w:sz w:val="22"/>
        </w:rPr>
        <w:t>Submit two files unless the instructor or Canvas states otherwise:</w:t>
      </w:r>
    </w:p>
    <w:p>
      <w:pPr>
        <w:spacing w:before="0" w:after="160" w:line="280" w:lineRule="auto"/>
        <w:numPr>
          <w:ilvl w:val="0"/>
          <w:numId w:val="10"/>
        </w:numPr>
      </w:pPr>
      <w:r>
        <w:rPr>
          <w:rFonts w:ascii="Calibri" w:hAnsi="Calibri"/>
          <w:color w:val="000000"/>
          <w:sz w:val="22"/>
        </w:rPr>
        <w:t xml:space="preserve">The completed </w:t>
      </w:r>
      <w:r>
        <w:rPr>
          <w:rFonts w:ascii="Calibri" w:hAnsi="Calibri"/>
          <w:b/>
          <w:color w:val="000000"/>
          <w:sz w:val="22"/>
        </w:rPr>
        <w:t>BUS311 Capstone Milestone 2 Revenue Analysis Workbook</w:t>
      </w:r>
      <w:r>
        <w:rPr>
          <w:rFonts w:ascii="Calibri" w:hAnsi="Calibri"/>
          <w:color w:val="000000"/>
          <w:sz w:val="22"/>
        </w:rPr>
        <w:t>.</w:t>
      </w:r>
    </w:p>
    <w:p>
      <w:pPr>
        <w:spacing w:before="0" w:after="160" w:line="280" w:lineRule="auto"/>
        <w:numPr>
          <w:ilvl w:val="0"/>
          <w:numId w:val="10"/>
        </w:numPr>
      </w:pPr>
      <w:r>
        <w:rPr>
          <w:rFonts w:ascii="Calibri" w:hAnsi="Calibri"/>
          <w:color w:val="000000"/>
          <w:sz w:val="22"/>
        </w:rPr>
        <w:t xml:space="preserve">A PDF or DOCX export of the workbook's </w:t>
      </w:r>
      <w:r>
        <w:rPr>
          <w:rFonts w:ascii="Calibri" w:hAnsi="Calibri"/>
          <w:b/>
          <w:color w:val="000000"/>
          <w:sz w:val="22"/>
        </w:rPr>
        <w:t>Hypothesis &amp; Scenarios</w:t>
      </w:r>
      <w:r>
        <w:rPr>
          <w:rFonts w:ascii="Calibri" w:hAnsi="Calibri"/>
          <w:color w:val="000000"/>
          <w:sz w:val="22"/>
        </w:rPr>
        <w:t xml:space="preserve"> sheet if the instructor requests a separate readable view.</w:t>
      </w:r>
    </w:p>
    <w:p>
      <w:pPr>
        <w:spacing w:before="0" w:after="120" w:line="264" w:lineRule="auto"/>
      </w:pPr>
      <w:r>
        <w:rPr>
          <w:rFonts w:ascii="Calibri" w:hAnsi="Calibri"/>
          <w:color w:val="000000"/>
          <w:sz w:val="22"/>
        </w:rPr>
        <w:t>The workbook is the primary milestone artifact. Do not submit raw FactSet exports or screenshots as separate public files. Keep any licensed FactSet evidence within permitted course use and label it inside your analysis.</w:t>
      </w:r>
    </w:p>
    <w:p>
      <w:pPr>
        <w:pStyle w:val="Heading2"/>
      </w:pPr>
      <w:r>
        <w:rPr>
          <w:rFonts w:ascii="Calibri" w:hAnsi="Calibri"/>
          <w:color w:val="175FA9"/>
          <w:sz w:val="26"/>
        </w:rPr>
        <w:t>Scope that is manageable for one student</w:t>
      </w:r>
    </w:p>
    <w:p>
      <w:pPr>
        <w:spacing w:before="0" w:after="120" w:line="264" w:lineRule="auto"/>
      </w:pPr>
      <w:r>
        <w:rPr>
          <w:rFonts w:ascii="Calibri" w:hAnsi="Calibri"/>
          <w:color w:val="000000"/>
          <w:sz w:val="22"/>
        </w:rPr>
        <w:t>Use these default limits unless your instructor approves another scope:</w:t>
      </w:r>
    </w:p>
    <w:p>
      <w:pPr>
        <w:pStyle w:val="ListBullet"/>
      </w:pPr>
      <w:r>
        <w:rPr>
          <w:rFonts w:ascii="Calibri" w:hAnsi="Calibri"/>
          <w:color w:val="000000"/>
          <w:sz w:val="22"/>
        </w:rPr>
        <w:t>Three to five completed fiscal years; use five when comparable history is available.</w:t>
      </w:r>
    </w:p>
    <w:p>
      <w:pPr>
        <w:pStyle w:val="ListBullet"/>
      </w:pPr>
      <w:r>
        <w:rPr>
          <w:rFonts w:ascii="Calibri" w:hAnsi="Calibri"/>
          <w:color w:val="000000"/>
          <w:sz w:val="22"/>
        </w:rPr>
        <w:t>Total revenue plus no more than five material reported segments or business lines.</w:t>
      </w:r>
    </w:p>
    <w:p>
      <w:pPr>
        <w:pStyle w:val="ListBullet"/>
      </w:pPr>
      <w:r>
        <w:rPr>
          <w:rFonts w:ascii="Calibri" w:hAnsi="Calibri"/>
          <w:color w:val="000000"/>
          <w:sz w:val="22"/>
        </w:rPr>
        <w:t>Three defensible peers when three comparable companies are available. If fewer than three are defensible, explain why.</w:t>
      </w:r>
    </w:p>
    <w:p>
      <w:pPr>
        <w:pStyle w:val="ListBullet"/>
      </w:pPr>
      <w:r>
        <w:rPr>
          <w:rFonts w:ascii="Calibri" w:hAnsi="Calibri"/>
          <w:color w:val="000000"/>
          <w:sz w:val="22"/>
        </w:rPr>
        <w:t>Three to six material revenue drivers. Analyze the drivers the company actually discloses or credible evidence supports.</w:t>
      </w:r>
    </w:p>
    <w:p>
      <w:pPr>
        <w:pStyle w:val="ListBullet"/>
      </w:pPr>
      <w:r>
        <w:rPr>
          <w:rFonts w:ascii="Calibri" w:hAnsi="Calibri"/>
          <w:color w:val="000000"/>
          <w:sz w:val="22"/>
        </w:rPr>
        <w:t>Four to six leading indicators and three to five principal revenue risks.</w:t>
      </w:r>
    </w:p>
    <w:p>
      <w:pPr>
        <w:pStyle w:val="ListBullet"/>
      </w:pPr>
      <w:r>
        <w:rPr>
          <w:rFonts w:ascii="Calibri" w:hAnsi="Calibri"/>
          <w:color w:val="000000"/>
          <w:sz w:val="22"/>
        </w:rPr>
        <w:t>One specific revenue hypothesis and three directional forecast cases. Do not build the full valuation in this milestone.</w:t>
      </w:r>
    </w:p>
    <w:p>
      <w:pPr>
        <w:pStyle w:val="ListBullet"/>
      </w:pPr>
      <w:r>
        <w:rPr>
          <w:rFonts w:ascii="Calibri" w:hAnsi="Calibri"/>
          <w:color w:val="000000"/>
          <w:sz w:val="22"/>
        </w:rPr>
        <w:t>One maintained evidence register. Add evidence as you work instead of creating a second source list.</w:t>
      </w:r>
    </w:p>
    <w:p>
      <w:pPr>
        <w:spacing w:before="0" w:after="120" w:line="264" w:lineRule="auto"/>
      </w:pPr>
      <w:r>
        <w:rPr>
          <w:rFonts w:ascii="Calibri" w:hAnsi="Calibri"/>
          <w:color w:val="000000"/>
          <w:sz w:val="22"/>
        </w:rPr>
        <w:t>Plan for approximately six to eight focused hours across two weeks, including the scheduled class workdays. Stop expanding the company description when the evidence is sufficient to test the revenue hypothesis and inform the approved CFO decision.</w:t>
      </w:r>
    </w:p>
    <w:p>
      <w:pPr>
        <w:pStyle w:val="Heading2"/>
      </w:pPr>
      <w:r>
        <w:rPr>
          <w:rFonts w:ascii="Calibri" w:hAnsi="Calibri"/>
          <w:color w:val="175FA9"/>
          <w:sz w:val="26"/>
        </w:rPr>
        <w:t>Required workflow</w:t>
      </w:r>
    </w:p>
    <w:p>
      <w:pPr>
        <w:pStyle w:val="Heading3"/>
      </w:pPr>
      <w:r>
        <w:rPr>
          <w:rFonts w:ascii="Calibri" w:hAnsi="Calibri"/>
          <w:color w:val="0A2540"/>
          <w:sz w:val="24"/>
        </w:rPr>
        <w:t>1. Map the revenue engine</w:t>
      </w:r>
    </w:p>
    <w:p>
      <w:pPr>
        <w:spacing w:before="0" w:after="120" w:line="264" w:lineRule="auto"/>
      </w:pPr>
      <w:r>
        <w:rPr>
          <w:rFonts w:ascii="Calibri" w:hAnsi="Calibri"/>
          <w:color w:val="000000"/>
          <w:sz w:val="22"/>
        </w:rPr>
        <w:t xml:space="preserve">Complete all eight required dimensions in the </w:t>
      </w:r>
      <w:r>
        <w:rPr>
          <w:rFonts w:ascii="Calibri" w:hAnsi="Calibri"/>
          <w:b/>
          <w:color w:val="000000"/>
          <w:sz w:val="22"/>
        </w:rPr>
        <w:t>Revenue Map</w:t>
      </w:r>
      <w:r>
        <w:rPr>
          <w:rFonts w:ascii="Calibri" w:hAnsi="Calibri"/>
          <w:color w:val="000000"/>
          <w:sz w:val="22"/>
        </w:rPr>
        <w:t xml:space="preserve"> sheet:</w:t>
      </w:r>
    </w:p>
    <w:p>
      <w:pPr>
        <w:spacing w:before="0" w:after="160" w:line="280" w:lineRule="auto"/>
        <w:numPr>
          <w:ilvl w:val="0"/>
          <w:numId w:val="11"/>
        </w:numPr>
      </w:pPr>
      <w:r>
        <w:rPr>
          <w:rFonts w:ascii="Calibri" w:hAnsi="Calibri"/>
          <w:color w:val="000000"/>
          <w:sz w:val="22"/>
        </w:rPr>
        <w:t>Products and services.</w:t>
      </w:r>
    </w:p>
    <w:p>
      <w:pPr>
        <w:spacing w:before="0" w:after="160" w:line="280" w:lineRule="auto"/>
        <w:numPr>
          <w:ilvl w:val="0"/>
          <w:numId w:val="11"/>
        </w:numPr>
      </w:pPr>
      <w:r>
        <w:rPr>
          <w:rFonts w:ascii="Calibri" w:hAnsi="Calibri"/>
          <w:color w:val="000000"/>
          <w:sz w:val="22"/>
        </w:rPr>
        <w:t>Reported segments or business lines.</w:t>
      </w:r>
    </w:p>
    <w:p>
      <w:pPr>
        <w:spacing w:before="0" w:after="160" w:line="280" w:lineRule="auto"/>
        <w:numPr>
          <w:ilvl w:val="0"/>
          <w:numId w:val="11"/>
        </w:numPr>
      </w:pPr>
      <w:r>
        <w:rPr>
          <w:rFonts w:ascii="Calibri" w:hAnsi="Calibri"/>
          <w:color w:val="000000"/>
          <w:sz w:val="22"/>
        </w:rPr>
        <w:t>Geographies or end markets.</w:t>
      </w:r>
    </w:p>
    <w:p>
      <w:pPr>
        <w:spacing w:before="0" w:after="160" w:line="280" w:lineRule="auto"/>
        <w:numPr>
          <w:ilvl w:val="0"/>
          <w:numId w:val="11"/>
        </w:numPr>
      </w:pPr>
      <w:r>
        <w:rPr>
          <w:rFonts w:ascii="Calibri" w:hAnsi="Calibri"/>
          <w:color w:val="000000"/>
          <w:sz w:val="22"/>
        </w:rPr>
        <w:t>Customer types.</w:t>
      </w:r>
    </w:p>
    <w:p>
      <w:pPr>
        <w:spacing w:before="0" w:after="160" w:line="280" w:lineRule="auto"/>
        <w:numPr>
          <w:ilvl w:val="0"/>
          <w:numId w:val="11"/>
        </w:numPr>
      </w:pPr>
      <w:r>
        <w:rPr>
          <w:rFonts w:ascii="Calibri" w:hAnsi="Calibri"/>
          <w:color w:val="000000"/>
          <w:sz w:val="22"/>
        </w:rPr>
        <w:t>Sales and distribution channels.</w:t>
      </w:r>
    </w:p>
    <w:p>
      <w:pPr>
        <w:spacing w:before="0" w:after="160" w:line="280" w:lineRule="auto"/>
        <w:numPr>
          <w:ilvl w:val="0"/>
          <w:numId w:val="11"/>
        </w:numPr>
      </w:pPr>
      <w:r>
        <w:rPr>
          <w:rFonts w:ascii="Calibri" w:hAnsi="Calibri"/>
          <w:color w:val="000000"/>
          <w:sz w:val="22"/>
        </w:rPr>
        <w:t>Pricing or monetization model.</w:t>
      </w:r>
    </w:p>
    <w:p>
      <w:pPr>
        <w:spacing w:before="0" w:after="160" w:line="280" w:lineRule="auto"/>
        <w:numPr>
          <w:ilvl w:val="0"/>
          <w:numId w:val="11"/>
        </w:numPr>
      </w:pPr>
      <w:r>
        <w:rPr>
          <w:rFonts w:ascii="Calibri" w:hAnsi="Calibri"/>
          <w:color w:val="000000"/>
          <w:sz w:val="22"/>
        </w:rPr>
        <w:t>Recurring versus transactional revenue.</w:t>
      </w:r>
    </w:p>
    <w:p>
      <w:pPr>
        <w:spacing w:before="0" w:after="160" w:line="280" w:lineRule="auto"/>
        <w:numPr>
          <w:ilvl w:val="0"/>
          <w:numId w:val="11"/>
        </w:numPr>
      </w:pPr>
      <w:r>
        <w:rPr>
          <w:rFonts w:ascii="Calibri" w:hAnsi="Calibri"/>
          <w:color w:val="000000"/>
          <w:sz w:val="22"/>
        </w:rPr>
        <w:t>Where value is created and which levers management can influence.</w:t>
      </w:r>
    </w:p>
    <w:p>
      <w:pPr>
        <w:spacing w:before="0" w:after="120" w:line="264" w:lineRule="auto"/>
      </w:pPr>
      <w:r>
        <w:rPr>
          <w:rFonts w:ascii="Calibri" w:hAnsi="Calibri"/>
          <w:color w:val="000000"/>
          <w:sz w:val="22"/>
        </w:rPr>
        <w:t>Name the material categories; do not list every minor product. For each dimension, identify the revenue mechanism, management lever, evidence ID, and limitation or missing disclosure.</w:t>
      </w:r>
    </w:p>
    <w:p>
      <w:pPr>
        <w:pStyle w:val="Heading3"/>
      </w:pPr>
      <w:r>
        <w:rPr>
          <w:rFonts w:ascii="Calibri" w:hAnsi="Calibri"/>
          <w:color w:val="0A2540"/>
          <w:sz w:val="24"/>
        </w:rPr>
        <w:t>2. Build three to five years of revenue history</w:t>
      </w:r>
    </w:p>
    <w:p>
      <w:pPr>
        <w:spacing w:before="0" w:after="120" w:line="264" w:lineRule="auto"/>
      </w:pPr>
      <w:r>
        <w:rPr>
          <w:rFonts w:ascii="Calibri" w:hAnsi="Calibri"/>
          <w:color w:val="000000"/>
          <w:sz w:val="22"/>
        </w:rPr>
        <w:t xml:space="preserve">In </w:t>
      </w:r>
      <w:r>
        <w:rPr>
          <w:rFonts w:ascii="Calibri" w:hAnsi="Calibri"/>
          <w:b/>
          <w:color w:val="000000"/>
          <w:sz w:val="22"/>
        </w:rPr>
        <w:t>Revenue History</w:t>
      </w:r>
      <w:r>
        <w:rPr>
          <w:rFonts w:ascii="Calibri" w:hAnsi="Calibri"/>
          <w:color w:val="000000"/>
          <w:sz w:val="22"/>
        </w:rPr>
        <w:t>, use consistent fiscal periods, currency, units, and definitions. Enter:</w:t>
      </w:r>
    </w:p>
    <w:p>
      <w:pPr>
        <w:pStyle w:val="ListBullet"/>
      </w:pPr>
      <w:r>
        <w:rPr>
          <w:rFonts w:ascii="Calibri" w:hAnsi="Calibri"/>
          <w:color w:val="000000"/>
          <w:sz w:val="22"/>
        </w:rPr>
        <w:t>Reported total revenue.</w:t>
      </w:r>
    </w:p>
    <w:p>
      <w:pPr>
        <w:pStyle w:val="ListBullet"/>
      </w:pPr>
      <w:r>
        <w:rPr>
          <w:rFonts w:ascii="Calibri" w:hAnsi="Calibri"/>
          <w:color w:val="000000"/>
          <w:sz w:val="22"/>
        </w:rPr>
        <w:t>Material segment or business-line revenue.</w:t>
      </w:r>
    </w:p>
    <w:p>
      <w:pPr>
        <w:pStyle w:val="ListBullet"/>
      </w:pPr>
      <w:r>
        <w:rPr>
          <w:rFonts w:ascii="Calibri" w:hAnsi="Calibri"/>
          <w:color w:val="000000"/>
          <w:sz w:val="22"/>
        </w:rPr>
        <w:t>Segment definitions and evidence IDs.</w:t>
      </w:r>
    </w:p>
    <w:p>
      <w:pPr>
        <w:pStyle w:val="ListBullet"/>
      </w:pPr>
      <w:r>
        <w:rPr>
          <w:rFonts w:ascii="Calibri" w:hAnsi="Calibri"/>
          <w:color w:val="000000"/>
          <w:sz w:val="22"/>
        </w:rPr>
        <w:t>Restatements, acquisitions, divestitures, reporting changes, or fiscal-year changes that affect comparability.</w:t>
      </w:r>
    </w:p>
    <w:p>
      <w:pPr>
        <w:spacing w:before="0" w:after="120" w:line="264" w:lineRule="auto"/>
      </w:pPr>
      <w:r>
        <w:rPr>
          <w:rFonts w:ascii="Calibri" w:hAnsi="Calibri"/>
          <w:color w:val="000000"/>
          <w:sz w:val="22"/>
        </w:rPr>
        <w:t>The workbook calculates growth, segment sums, and reconciliation differences. A difference is not automatically an error: corporate/elimination items or segment-definition changes may explain it. Label the cause; do not hide it.</w:t>
      </w:r>
    </w:p>
    <w:p>
      <w:pPr>
        <w:pStyle w:val="Heading3"/>
      </w:pPr>
      <w:r>
        <w:rPr>
          <w:rFonts w:ascii="Calibri" w:hAnsi="Calibri"/>
          <w:color w:val="0A2540"/>
          <w:sz w:val="24"/>
        </w:rPr>
        <w:t>3. Decompose company-relevant drivers</w:t>
      </w:r>
    </w:p>
    <w:p>
      <w:pPr>
        <w:spacing w:before="0" w:after="120" w:line="264" w:lineRule="auto"/>
      </w:pPr>
      <w:r>
        <w:rPr>
          <w:rFonts w:ascii="Calibri" w:hAnsi="Calibri"/>
          <w:color w:val="000000"/>
          <w:sz w:val="22"/>
        </w:rPr>
        <w:t xml:space="preserve">Use the </w:t>
      </w:r>
      <w:r>
        <w:rPr>
          <w:rFonts w:ascii="Calibri" w:hAnsi="Calibri"/>
          <w:b/>
          <w:color w:val="000000"/>
          <w:sz w:val="22"/>
        </w:rPr>
        <w:t>Driver Analysis</w:t>
      </w:r>
      <w:r>
        <w:rPr>
          <w:rFonts w:ascii="Calibri" w:hAnsi="Calibri"/>
          <w:color w:val="000000"/>
          <w:sz w:val="22"/>
        </w:rPr>
        <w:t xml:space="preserve"> sheet to explain what changed. Select the drivers relevant to the company, such as:</w:t>
      </w:r>
    </w:p>
    <w:p>
      <w:pPr>
        <w:pStyle w:val="ListBullet"/>
      </w:pPr>
      <w:r>
        <w:rPr>
          <w:rFonts w:ascii="Calibri" w:hAnsi="Calibri"/>
          <w:color w:val="000000"/>
          <w:sz w:val="22"/>
        </w:rPr>
        <w:t>Price, volume, or mix.</w:t>
      </w:r>
    </w:p>
    <w:p>
      <w:pPr>
        <w:pStyle w:val="ListBullet"/>
      </w:pPr>
      <w:r>
        <w:rPr>
          <w:rFonts w:ascii="Calibri" w:hAnsi="Calibri"/>
          <w:color w:val="000000"/>
          <w:sz w:val="22"/>
        </w:rPr>
        <w:t>Currency or geographic exposure.</w:t>
      </w:r>
    </w:p>
    <w:p>
      <w:pPr>
        <w:pStyle w:val="ListBullet"/>
      </w:pPr>
      <w:r>
        <w:rPr>
          <w:rFonts w:ascii="Calibri" w:hAnsi="Calibri"/>
          <w:color w:val="000000"/>
          <w:sz w:val="22"/>
        </w:rPr>
        <w:t>Acquisitions, divestitures, or accounting changes.</w:t>
      </w:r>
    </w:p>
    <w:p>
      <w:pPr>
        <w:pStyle w:val="ListBullet"/>
      </w:pPr>
      <w:r>
        <w:rPr>
          <w:rFonts w:ascii="Calibri" w:hAnsi="Calibri"/>
          <w:color w:val="000000"/>
          <w:sz w:val="22"/>
        </w:rPr>
        <w:t>Customers, contracts, locations, units, or transactions.</w:t>
      </w:r>
    </w:p>
    <w:p>
      <w:pPr>
        <w:pStyle w:val="ListBullet"/>
      </w:pPr>
      <w:r>
        <w:rPr>
          <w:rFonts w:ascii="Calibri" w:hAnsi="Calibri"/>
          <w:color w:val="000000"/>
          <w:sz w:val="22"/>
        </w:rPr>
        <w:t>Utilization, occupancy, capacity, or throughput.</w:t>
      </w:r>
    </w:p>
    <w:p>
      <w:pPr>
        <w:pStyle w:val="ListBullet"/>
      </w:pPr>
      <w:r>
        <w:rPr>
          <w:rFonts w:ascii="Calibri" w:hAnsi="Calibri"/>
          <w:color w:val="000000"/>
          <w:sz w:val="22"/>
        </w:rPr>
        <w:t>Retention, churn, subscriptions, or recurring-revenue measures.</w:t>
      </w:r>
    </w:p>
    <w:p>
      <w:pPr>
        <w:pStyle w:val="ListBullet"/>
      </w:pPr>
      <w:r>
        <w:rPr>
          <w:rFonts w:ascii="Calibri" w:hAnsi="Calibri"/>
          <w:color w:val="000000"/>
          <w:sz w:val="22"/>
        </w:rPr>
        <w:t>Backlog, bookings, orders, pipeline, or another disclosed forward measure.</w:t>
      </w:r>
    </w:p>
    <w:p>
      <w:pPr>
        <w:spacing w:before="0" w:after="120" w:line="264" w:lineRule="auto"/>
      </w:pPr>
      <w:r>
        <w:rPr>
          <w:rFonts w:ascii="Calibri" w:hAnsi="Calibri"/>
          <w:color w:val="000000"/>
          <w:sz w:val="22"/>
        </w:rPr>
        <w:t>Quantify the contribution when the company or a credible source discloses it. When a driver cannot be quantified, classify it as directional and state the limitation. Never invent a bridge amount to make the analysis reconcile.</w:t>
      </w:r>
    </w:p>
    <w:p>
      <w:pPr>
        <w:spacing w:before="0" w:after="120" w:line="264" w:lineRule="auto"/>
      </w:pPr>
      <w:r>
        <w:rPr>
          <w:rFonts w:ascii="Calibri" w:hAnsi="Calibri"/>
          <w:color w:val="000000"/>
          <w:sz w:val="22"/>
        </w:rPr>
        <w:t>Distinguish durable operating drivers from temporary, acquisition-related, accounting, or macro effects. State how each material driver could affect a later forecast assumption.</w:t>
      </w:r>
    </w:p>
    <w:p>
      <w:pPr>
        <w:pStyle w:val="Heading3"/>
      </w:pPr>
      <w:r>
        <w:rPr>
          <w:rFonts w:ascii="Calibri" w:hAnsi="Calibri"/>
          <w:color w:val="0A2540"/>
          <w:sz w:val="24"/>
        </w:rPr>
        <w:t>4. Add industry, competitor, and peer context</w:t>
      </w:r>
    </w:p>
    <w:p>
      <w:pPr>
        <w:spacing w:before="0" w:after="120" w:line="264" w:lineRule="auto"/>
      </w:pPr>
      <w:r>
        <w:rPr>
          <w:rFonts w:ascii="Calibri" w:hAnsi="Calibri"/>
          <w:color w:val="000000"/>
          <w:sz w:val="22"/>
        </w:rPr>
        <w:t xml:space="preserve">In </w:t>
      </w:r>
      <w:r>
        <w:rPr>
          <w:rFonts w:ascii="Calibri" w:hAnsi="Calibri"/>
          <w:b/>
          <w:color w:val="000000"/>
          <w:sz w:val="22"/>
        </w:rPr>
        <w:t>Peers &amp; Demand</w:t>
      </w:r>
      <w:r>
        <w:rPr>
          <w:rFonts w:ascii="Calibri" w:hAnsi="Calibri"/>
          <w:color w:val="000000"/>
          <w:sz w:val="22"/>
        </w:rPr>
        <w:t>:</w:t>
      </w:r>
    </w:p>
    <w:p>
      <w:pPr>
        <w:pStyle w:val="ListBullet"/>
      </w:pPr>
      <w:r>
        <w:rPr>
          <w:rFonts w:ascii="Calibri" w:hAnsi="Calibri"/>
          <w:color w:val="000000"/>
          <w:sz w:val="22"/>
        </w:rPr>
        <w:t>Describe the most relevant industry demand conditions and their sources.</w:t>
      </w:r>
    </w:p>
    <w:p>
      <w:pPr>
        <w:pStyle w:val="ListBullet"/>
      </w:pPr>
      <w:r>
        <w:rPr>
          <w:rFonts w:ascii="Calibri" w:hAnsi="Calibri"/>
          <w:color w:val="000000"/>
          <w:sz w:val="22"/>
        </w:rPr>
        <w:t>Name direct competitors and explain the competitive variable that matters.</w:t>
      </w:r>
    </w:p>
    <w:p>
      <w:pPr>
        <w:pStyle w:val="ListBullet"/>
      </w:pPr>
      <w:r>
        <w:rPr>
          <w:rFonts w:ascii="Calibri" w:hAnsi="Calibri"/>
          <w:color w:val="000000"/>
          <w:sz w:val="22"/>
        </w:rPr>
        <w:t>Define a defensible peer group and why each peer is comparable.</w:t>
      </w:r>
    </w:p>
    <w:p>
      <w:pPr>
        <w:pStyle w:val="ListBullet"/>
      </w:pPr>
      <w:r>
        <w:rPr>
          <w:rFonts w:ascii="Calibri" w:hAnsi="Calibri"/>
          <w:color w:val="000000"/>
          <w:sz w:val="22"/>
        </w:rPr>
        <w:t>Compare revenue growth using consistent periods and definitions when possible.</w:t>
      </w:r>
    </w:p>
    <w:p>
      <w:pPr>
        <w:pStyle w:val="ListBullet"/>
      </w:pPr>
      <w:r>
        <w:rPr>
          <w:rFonts w:ascii="Calibri" w:hAnsi="Calibri"/>
          <w:color w:val="000000"/>
          <w:sz w:val="22"/>
        </w:rPr>
        <w:t>Address market share only when a credible source defines both the market and the company's measure. If market share is unavailable or definitions conflict, state the limitation rather than estimating unsupported precision.</w:t>
      </w:r>
    </w:p>
    <w:p>
      <w:pPr>
        <w:spacing w:before="0" w:after="120" w:line="264" w:lineRule="auto"/>
      </w:pPr>
      <w:r>
        <w:rPr>
          <w:rFonts w:ascii="Calibri" w:hAnsi="Calibri"/>
          <w:color w:val="000000"/>
          <w:sz w:val="22"/>
        </w:rPr>
        <w:t>Peer analysis should help distinguish a company-specific driver from an industry-wide effect. It is not a stock-multiple exercise.</w:t>
      </w:r>
    </w:p>
    <w:p>
      <w:pPr>
        <w:pStyle w:val="Heading3"/>
      </w:pPr>
      <w:r>
        <w:rPr>
          <w:rFonts w:ascii="Calibri" w:hAnsi="Calibri"/>
          <w:color w:val="0A2540"/>
          <w:sz w:val="24"/>
        </w:rPr>
        <w:t>5. Identify leading indicators and principal revenue risks</w:t>
      </w:r>
    </w:p>
    <w:p>
      <w:pPr>
        <w:spacing w:before="0" w:after="120" w:line="264" w:lineRule="auto"/>
      </w:pPr>
      <w:r>
        <w:rPr>
          <w:rFonts w:ascii="Calibri" w:hAnsi="Calibri"/>
          <w:color w:val="000000"/>
          <w:sz w:val="22"/>
        </w:rPr>
        <w:t xml:space="preserve">In </w:t>
      </w:r>
      <w:r>
        <w:rPr>
          <w:rFonts w:ascii="Calibri" w:hAnsi="Calibri"/>
          <w:b/>
          <w:color w:val="000000"/>
          <w:sz w:val="22"/>
        </w:rPr>
        <w:t>Indicators &amp; Risks</w:t>
      </w:r>
      <w:r>
        <w:rPr>
          <w:rFonts w:ascii="Calibri" w:hAnsi="Calibri"/>
          <w:color w:val="000000"/>
          <w:sz w:val="22"/>
        </w:rPr>
        <w:t>, record the measures the CFO and Board should monitor. Address:</w:t>
      </w:r>
    </w:p>
    <w:p>
      <w:pPr>
        <w:pStyle w:val="ListBullet"/>
      </w:pPr>
      <w:r>
        <w:rPr>
          <w:rFonts w:ascii="Calibri" w:hAnsi="Calibri"/>
          <w:color w:val="000000"/>
          <w:sz w:val="22"/>
        </w:rPr>
        <w:t>Leading demand or operating indicators.</w:t>
      </w:r>
    </w:p>
    <w:p>
      <w:pPr>
        <w:pStyle w:val="ListBullet"/>
      </w:pPr>
      <w:r>
        <w:rPr>
          <w:rFonts w:ascii="Calibri" w:hAnsi="Calibri"/>
          <w:color w:val="000000"/>
          <w:sz w:val="22"/>
        </w:rPr>
        <w:t>Customer, supplier, product, geography, or channel concentration.</w:t>
      </w:r>
    </w:p>
    <w:p>
      <w:pPr>
        <w:pStyle w:val="ListBullet"/>
      </w:pPr>
      <w:r>
        <w:rPr>
          <w:rFonts w:ascii="Calibri" w:hAnsi="Calibri"/>
          <w:color w:val="000000"/>
          <w:sz w:val="22"/>
        </w:rPr>
        <w:t>Seasonality and timing effects.</w:t>
      </w:r>
    </w:p>
    <w:p>
      <w:pPr>
        <w:pStyle w:val="ListBullet"/>
      </w:pPr>
      <w:r>
        <w:rPr>
          <w:rFonts w:ascii="Calibri" w:hAnsi="Calibri"/>
          <w:color w:val="000000"/>
          <w:sz w:val="22"/>
        </w:rPr>
        <w:t>Capacity, labor, supply, regulatory, or other constraints.</w:t>
      </w:r>
    </w:p>
    <w:p>
      <w:pPr>
        <w:pStyle w:val="ListBullet"/>
      </w:pPr>
      <w:r>
        <w:rPr>
          <w:rFonts w:ascii="Calibri" w:hAnsi="Calibri"/>
          <w:color w:val="000000"/>
          <w:sz w:val="22"/>
        </w:rPr>
        <w:t>Principal revenue risks and early-warning triggers.</w:t>
      </w:r>
    </w:p>
    <w:p>
      <w:pPr>
        <w:spacing w:before="0" w:after="120" w:line="264" w:lineRule="auto"/>
      </w:pPr>
      <w:r>
        <w:rPr>
          <w:rFonts w:ascii="Calibri" w:hAnsi="Calibri"/>
          <w:color w:val="000000"/>
          <w:sz w:val="22"/>
        </w:rPr>
        <w:t>Each indicator or risk must have an evidence ID and a stated connection to a forecast assumption, scenario trigger, or CFO decision.</w:t>
      </w:r>
    </w:p>
    <w:p>
      <w:pPr>
        <w:pStyle w:val="Heading3"/>
      </w:pPr>
      <w:r>
        <w:rPr>
          <w:rFonts w:ascii="Calibri" w:hAnsi="Calibri"/>
          <w:color w:val="0A2540"/>
          <w:sz w:val="24"/>
        </w:rPr>
        <w:t>6. Write one testable revenue hypothesis</w:t>
      </w:r>
    </w:p>
    <w:p>
      <w:pPr>
        <w:spacing w:before="0" w:after="120" w:line="264" w:lineRule="auto"/>
      </w:pPr>
      <w:r>
        <w:rPr>
          <w:rFonts w:ascii="Calibri" w:hAnsi="Calibri"/>
          <w:color w:val="000000"/>
          <w:sz w:val="22"/>
        </w:rPr>
        <w:t xml:space="preserve">Complete the </w:t>
      </w:r>
      <w:r>
        <w:rPr>
          <w:rFonts w:ascii="Calibri" w:hAnsi="Calibri"/>
          <w:b/>
          <w:color w:val="000000"/>
          <w:sz w:val="22"/>
        </w:rPr>
        <w:t>Hypothesis &amp; Scenarios</w:t>
      </w:r>
      <w:r>
        <w:rPr>
          <w:rFonts w:ascii="Calibri" w:hAnsi="Calibri"/>
          <w:color w:val="000000"/>
          <w:sz w:val="22"/>
        </w:rPr>
        <w:t xml:space="preserve"> sheet and the separate hypothesis-quality checklist. A strong hypothesis names:</w:t>
      </w:r>
    </w:p>
    <w:p>
      <w:pPr>
        <w:pStyle w:val="ListBullet"/>
      </w:pPr>
      <w:r>
        <w:rPr>
          <w:rFonts w:ascii="Calibri" w:hAnsi="Calibri"/>
          <w:color w:val="000000"/>
          <w:sz w:val="22"/>
        </w:rPr>
        <w:t>The operating driver or causal mechanism.</w:t>
      </w:r>
    </w:p>
    <w:p>
      <w:pPr>
        <w:pStyle w:val="ListBullet"/>
      </w:pPr>
      <w:r>
        <w:rPr>
          <w:rFonts w:ascii="Calibri" w:hAnsi="Calibri"/>
          <w:color w:val="000000"/>
          <w:sz w:val="22"/>
        </w:rPr>
        <w:t>The expected revenue or margin effect.</w:t>
      </w:r>
    </w:p>
    <w:p>
      <w:pPr>
        <w:pStyle w:val="ListBullet"/>
      </w:pPr>
      <w:r>
        <w:rPr>
          <w:rFonts w:ascii="Calibri" w:hAnsi="Calibri"/>
          <w:color w:val="000000"/>
          <w:sz w:val="22"/>
        </w:rPr>
        <w:t>The relevant time period.</w:t>
      </w:r>
    </w:p>
    <w:p>
      <w:pPr>
        <w:pStyle w:val="ListBullet"/>
      </w:pPr>
      <w:r>
        <w:rPr>
          <w:rFonts w:ascii="Calibri" w:hAnsi="Calibri"/>
          <w:color w:val="000000"/>
          <w:sz w:val="22"/>
        </w:rPr>
        <w:t>Observable supporting evidence.</w:t>
      </w:r>
    </w:p>
    <w:p>
      <w:pPr>
        <w:pStyle w:val="ListBullet"/>
      </w:pPr>
      <w:r>
        <w:rPr>
          <w:rFonts w:ascii="Calibri" w:hAnsi="Calibri"/>
          <w:color w:val="000000"/>
          <w:sz w:val="22"/>
        </w:rPr>
        <w:t>Observable evidence that would weaken or disprove the claim.</w:t>
      </w:r>
    </w:p>
    <w:p>
      <w:pPr>
        <w:pStyle w:val="ListBullet"/>
      </w:pPr>
      <w:r>
        <w:rPr>
          <w:rFonts w:ascii="Calibri" w:hAnsi="Calibri"/>
          <w:color w:val="000000"/>
          <w:sz w:val="22"/>
        </w:rPr>
        <w:t>At least one plausible alternative explanation.</w:t>
      </w:r>
    </w:p>
    <w:p>
      <w:pPr>
        <w:spacing w:before="0" w:after="120" w:line="264" w:lineRule="auto"/>
      </w:pPr>
      <w:r>
        <w:rPr>
          <w:rFonts w:ascii="Calibri" w:hAnsi="Calibri"/>
          <w:color w:val="000000"/>
          <w:sz w:val="22"/>
        </w:rPr>
        <w:t>Use this structure when helpful:</w:t>
      </w:r>
    </w:p>
    <w:p>
      <w:pPr>
        <w:spacing w:before="80" w:after="160" w:line="264" w:lineRule="auto"/>
        <w:ind w:left="360" w:right="216"/>
        <w:shd w:fill="F7E9E2"/>
      </w:pPr>
      <w:r>
        <w:rPr>
          <w:rFonts w:ascii="Calibri" w:hAnsi="Calibri"/>
          <w:i/>
          <w:color w:val="0A2540"/>
          <w:sz w:val="22"/>
        </w:rPr>
        <w:t xml:space="preserve">Over </w:t>
      </w:r>
      <w:r>
        <w:rPr>
          <w:rFonts w:ascii="Calibri" w:hAnsi="Calibri"/>
          <w:b/>
          <w:i/>
          <w:color w:val="0A2540"/>
          <w:sz w:val="22"/>
        </w:rPr>
        <w:t>[period]</w:t>
      </w:r>
      <w:r>
        <w:rPr>
          <w:rFonts w:ascii="Calibri" w:hAnsi="Calibri"/>
          <w:i/>
          <w:color w:val="0A2540"/>
          <w:sz w:val="22"/>
        </w:rPr>
        <w:t xml:space="preserve">, </w:t>
      </w:r>
      <w:r>
        <w:rPr>
          <w:rFonts w:ascii="Calibri" w:hAnsi="Calibri"/>
          <w:b/>
          <w:i/>
          <w:color w:val="0A2540"/>
          <w:sz w:val="22"/>
        </w:rPr>
        <w:t>[company-specific driver or mechanism]</w:t>
      </w:r>
      <w:r>
        <w:rPr>
          <w:rFonts w:ascii="Calibri" w:hAnsi="Calibri"/>
          <w:i/>
          <w:color w:val="0A2540"/>
          <w:sz w:val="22"/>
        </w:rPr>
        <w:t xml:space="preserve"> will </w:t>
      </w:r>
      <w:r>
        <w:rPr>
          <w:rFonts w:ascii="Calibri" w:hAnsi="Calibri"/>
          <w:b/>
          <w:i/>
          <w:color w:val="0A2540"/>
          <w:sz w:val="22"/>
        </w:rPr>
        <w:t>[directional revenue or margin effect]</w:t>
      </w:r>
      <w:r>
        <w:rPr>
          <w:rFonts w:ascii="Calibri" w:hAnsi="Calibri"/>
          <w:i/>
          <w:color w:val="0A2540"/>
          <w:sz w:val="22"/>
        </w:rPr>
        <w:t xml:space="preserve"> because </w:t>
      </w:r>
      <w:r>
        <w:rPr>
          <w:rFonts w:ascii="Calibri" w:hAnsi="Calibri"/>
          <w:b/>
          <w:i/>
          <w:color w:val="0A2540"/>
          <w:sz w:val="22"/>
        </w:rPr>
        <w:t>[causal logic]</w:t>
      </w:r>
      <w:r>
        <w:rPr>
          <w:rFonts w:ascii="Calibri" w:hAnsi="Calibri"/>
          <w:i/>
          <w:color w:val="0A2540"/>
          <w:sz w:val="22"/>
        </w:rPr>
        <w:t xml:space="preserve">. I would weaken or reject this claim if </w:t>
      </w:r>
      <w:r>
        <w:rPr>
          <w:rFonts w:ascii="Calibri" w:hAnsi="Calibri"/>
          <w:b/>
          <w:i/>
          <w:color w:val="0A2540"/>
          <w:sz w:val="22"/>
        </w:rPr>
        <w:t>[observable falsification evidence]</w:t>
      </w:r>
      <w:r>
        <w:rPr>
          <w:rFonts w:ascii="Calibri" w:hAnsi="Calibri"/>
          <w:i/>
          <w:color w:val="0A2540"/>
          <w:sz w:val="22"/>
        </w:rPr>
        <w:t xml:space="preserve"> occurs.</w:t>
      </w:r>
    </w:p>
    <w:p>
      <w:pPr>
        <w:spacing w:before="0" w:after="120" w:line="264" w:lineRule="auto"/>
      </w:pPr>
      <w:r>
        <w:rPr>
          <w:rFonts w:ascii="Calibri" w:hAnsi="Calibri"/>
          <w:color w:val="000000"/>
          <w:sz w:val="22"/>
        </w:rPr>
        <w:t>The hypothesis may be modified or rejected later. Its purpose is to make the operating logic testable, not to guarantee the student's preferred recommendation.</w:t>
      </w:r>
    </w:p>
    <w:p>
      <w:pPr>
        <w:pStyle w:val="Heading3"/>
      </w:pPr>
      <w:r>
        <w:rPr>
          <w:rFonts w:ascii="Calibri" w:hAnsi="Calibri"/>
          <w:color w:val="0A2540"/>
          <w:sz w:val="24"/>
        </w:rPr>
        <w:t>7. Connect the hypothesis to forecasts, valuation, and the CFO decision</w:t>
      </w:r>
    </w:p>
    <w:p>
      <w:pPr>
        <w:spacing w:before="0" w:after="120" w:line="264" w:lineRule="auto"/>
      </w:pPr>
      <w:r>
        <w:rPr>
          <w:rFonts w:ascii="Calibri" w:hAnsi="Calibri"/>
          <w:color w:val="000000"/>
          <w:sz w:val="22"/>
        </w:rPr>
        <w:t>At this milestone, create a directional bridge rather than a finished valuation:</w:t>
      </w:r>
    </w:p>
    <w:tbl>
      <w:tblPr>
        <w:tblStyle w:val="TableGrid"/>
        <w:tblW w:type="dxa" w:w="9360"/>
        <w:jc w:val="left"/>
        <w:tblLayout w:type="fixed"/>
        <w:tblLook w:firstColumn="1" w:firstRow="1" w:lastColumn="0" w:lastRow="0" w:noHBand="0" w:noVBand="1" w:val="04A0"/>
        <w:tblInd w:w="120" w:type="dxa"/>
      </w:tblPr>
      <w:tblGrid>
        <w:gridCol w:w="1450"/>
        <w:gridCol w:w="2700"/>
        <w:gridCol w:w="2350"/>
        <w:gridCol w:w="1600"/>
        <w:gridCol w:w="1260"/>
      </w:tblGrid>
      <w:tr>
        <w:trPr>
          <w:tblHeader w:val="true"/>
          <w:cantSplit/>
        </w:trPr>
        <w:tc>
          <w:tcPr>
            <w:tcW w:type="dxa" w:w="1450"/>
            <w:shd w:fill="EAF2F8"/>
            <w:tcMar>
              <w:top w:w="80" w:type="dxa"/>
              <w:start w:w="120" w:type="dxa"/>
              <w:bottom w:w="80" w:type="dxa"/>
              <w:end w:w="120" w:type="dxa"/>
            </w:tcMar>
            <w:vAlign w:val="center"/>
          </w:tcPr>
          <w:p>
            <w:pPr>
              <w:spacing w:before="0" w:after="40" w:line="252" w:lineRule="auto"/>
              <w:jc w:val="left"/>
            </w:pPr>
            <w:r>
              <w:rPr>
                <w:b/>
              </w:rPr>
            </w:r>
            <w:r>
              <w:rPr>
                <w:rFonts w:ascii="Calibri" w:hAnsi="Calibri"/>
                <w:b/>
                <w:color w:val="0A2540"/>
                <w:sz w:val="17"/>
              </w:rPr>
              <w:t>Case</w:t>
            </w:r>
          </w:p>
        </w:tc>
        <w:tc>
          <w:tcPr>
            <w:tcW w:type="dxa" w:w="2700"/>
            <w:shd w:fill="EAF2F8"/>
            <w:tcMar>
              <w:top w:w="80" w:type="dxa"/>
              <w:start w:w="120" w:type="dxa"/>
              <w:bottom w:w="80" w:type="dxa"/>
              <w:end w:w="120" w:type="dxa"/>
            </w:tcMar>
            <w:vAlign w:val="center"/>
          </w:tcPr>
          <w:p>
            <w:pPr>
              <w:spacing w:before="0" w:after="40" w:line="252" w:lineRule="auto"/>
              <w:jc w:val="left"/>
            </w:pPr>
            <w:r>
              <w:rPr>
                <w:b/>
              </w:rPr>
            </w:r>
            <w:r>
              <w:rPr>
                <w:rFonts w:ascii="Calibri" w:hAnsi="Calibri"/>
                <w:b/>
                <w:color w:val="0A2540"/>
                <w:sz w:val="17"/>
              </w:rPr>
              <w:t>Revenue assumption</w:t>
            </w:r>
          </w:p>
        </w:tc>
        <w:tc>
          <w:tcPr>
            <w:tcW w:type="dxa" w:w="2350"/>
            <w:shd w:fill="EAF2F8"/>
            <w:tcMar>
              <w:top w:w="80" w:type="dxa"/>
              <w:start w:w="120" w:type="dxa"/>
              <w:bottom w:w="80" w:type="dxa"/>
              <w:end w:w="120" w:type="dxa"/>
            </w:tcMar>
            <w:vAlign w:val="center"/>
          </w:tcPr>
          <w:p>
            <w:pPr>
              <w:spacing w:before="0" w:after="40" w:line="252" w:lineRule="auto"/>
              <w:jc w:val="left"/>
            </w:pPr>
            <w:r>
              <w:rPr>
                <w:b/>
              </w:rPr>
            </w:r>
            <w:r>
              <w:rPr>
                <w:rFonts w:ascii="Calibri" w:hAnsi="Calibri"/>
                <w:b/>
                <w:color w:val="0A2540"/>
                <w:sz w:val="17"/>
              </w:rPr>
              <w:t>What would have to be true</w:t>
            </w:r>
          </w:p>
        </w:tc>
        <w:tc>
          <w:tcPr>
            <w:tcW w:type="dxa" w:w="1600"/>
            <w:shd w:fill="EAF2F8"/>
            <w:tcMar>
              <w:top w:w="80" w:type="dxa"/>
              <w:start w:w="120" w:type="dxa"/>
              <w:bottom w:w="80" w:type="dxa"/>
              <w:end w:w="120" w:type="dxa"/>
            </w:tcMar>
            <w:vAlign w:val="center"/>
          </w:tcPr>
          <w:p>
            <w:pPr>
              <w:spacing w:before="0" w:after="40" w:line="252" w:lineRule="auto"/>
              <w:jc w:val="left"/>
            </w:pPr>
            <w:r>
              <w:rPr>
                <w:b/>
              </w:rPr>
            </w:r>
            <w:r>
              <w:rPr>
                <w:rFonts w:ascii="Calibri" w:hAnsi="Calibri"/>
                <w:b/>
                <w:color w:val="0A2540"/>
                <w:sz w:val="17"/>
              </w:rPr>
              <w:t>Later valuation effect</w:t>
            </w:r>
          </w:p>
        </w:tc>
        <w:tc>
          <w:tcPr>
            <w:tcW w:type="dxa" w:w="1260"/>
            <w:shd w:fill="EAF2F8"/>
            <w:tcMar>
              <w:top w:w="80" w:type="dxa"/>
              <w:start w:w="120" w:type="dxa"/>
              <w:bottom w:w="80" w:type="dxa"/>
              <w:end w:w="120" w:type="dxa"/>
            </w:tcMar>
            <w:vAlign w:val="center"/>
          </w:tcPr>
          <w:p>
            <w:pPr>
              <w:spacing w:before="0" w:after="40" w:line="252" w:lineRule="auto"/>
              <w:jc w:val="center"/>
            </w:pPr>
            <w:r>
              <w:rPr>
                <w:b/>
              </w:rPr>
            </w:r>
            <w:r>
              <w:rPr>
                <w:rFonts w:ascii="Calibri" w:hAnsi="Calibri"/>
                <w:b/>
                <w:color w:val="0A2540"/>
                <w:sz w:val="17"/>
              </w:rPr>
              <w:t>CFO implication</w:t>
            </w:r>
          </w:p>
        </w:tc>
      </w:tr>
      <w:tr>
        <w:trPr>
          <w:cantSplit/>
        </w:trPr>
        <w:tc>
          <w:tcPr>
            <w:tcW w:type="dxa" w:w="1450"/>
            <w:tcMar>
              <w:top w:w="80" w:type="dxa"/>
              <w:start w:w="120" w:type="dxa"/>
              <w:bottom w:w="80" w:type="dxa"/>
              <w:end w:w="120" w:type="dxa"/>
            </w:tcMar>
            <w:vAlign w:val="center"/>
          </w:tcPr>
          <w:p>
            <w:pPr>
              <w:spacing w:before="0" w:after="40" w:line="252" w:lineRule="auto"/>
              <w:jc w:val="left"/>
            </w:pPr>
            <w:r/>
            <w:r>
              <w:rPr>
                <w:rFonts w:ascii="Calibri" w:hAnsi="Calibri"/>
                <w:color w:val="000000"/>
                <w:sz w:val="17"/>
              </w:rPr>
              <w:t>Base</w:t>
            </w:r>
          </w:p>
        </w:tc>
        <w:tc>
          <w:tcPr>
            <w:tcW w:type="dxa" w:w="2700"/>
            <w:tcMar>
              <w:top w:w="80" w:type="dxa"/>
              <w:start w:w="120" w:type="dxa"/>
              <w:bottom w:w="80" w:type="dxa"/>
              <w:end w:w="120" w:type="dxa"/>
            </w:tcMar>
            <w:vAlign w:val="center"/>
          </w:tcPr>
          <w:p>
            <w:pPr>
              <w:spacing w:before="0" w:after="40" w:line="252" w:lineRule="auto"/>
              <w:jc w:val="left"/>
            </w:pPr>
            <w:r/>
            <w:r>
              <w:rPr>
                <w:rFonts w:ascii="Calibri" w:hAnsi="Calibri"/>
                <w:color w:val="000000"/>
                <w:sz w:val="17"/>
              </w:rPr>
              <w:t>Most supportable driver path</w:t>
            </w:r>
          </w:p>
        </w:tc>
        <w:tc>
          <w:tcPr>
            <w:tcW w:type="dxa" w:w="2350"/>
            <w:tcMar>
              <w:top w:w="80" w:type="dxa"/>
              <w:start w:w="120" w:type="dxa"/>
              <w:bottom w:w="80" w:type="dxa"/>
              <w:end w:w="120" w:type="dxa"/>
            </w:tcMar>
            <w:vAlign w:val="center"/>
          </w:tcPr>
          <w:p>
            <w:pPr>
              <w:spacing w:before="0" w:after="40" w:line="252" w:lineRule="auto"/>
              <w:jc w:val="left"/>
            </w:pPr>
            <w:r/>
            <w:r>
              <w:rPr>
                <w:rFonts w:ascii="Calibri" w:hAnsi="Calibri"/>
                <w:color w:val="000000"/>
                <w:sz w:val="17"/>
              </w:rPr>
              <w:t>Evidence consistent with the central hypothesis</w:t>
            </w:r>
          </w:p>
        </w:tc>
        <w:tc>
          <w:tcPr>
            <w:tcW w:type="dxa" w:w="1600"/>
            <w:tcMar>
              <w:top w:w="80" w:type="dxa"/>
              <w:start w:w="120" w:type="dxa"/>
              <w:bottom w:w="80" w:type="dxa"/>
              <w:end w:w="120" w:type="dxa"/>
            </w:tcMar>
            <w:vAlign w:val="center"/>
          </w:tcPr>
          <w:p>
            <w:pPr>
              <w:spacing w:before="0" w:after="40" w:line="252" w:lineRule="auto"/>
              <w:jc w:val="left"/>
            </w:pPr>
            <w:r/>
            <w:r>
              <w:rPr>
                <w:rFonts w:ascii="Calibri" w:hAnsi="Calibri"/>
                <w:color w:val="000000"/>
                <w:sz w:val="17"/>
              </w:rPr>
              <w:t>Main operating and cash-flow path to be modeled</w:t>
            </w:r>
          </w:p>
        </w:tc>
        <w:tc>
          <w:tcPr>
            <w:tcW w:type="dxa" w:w="1260"/>
            <w:tcMar>
              <w:top w:w="80" w:type="dxa"/>
              <w:start w:w="120" w:type="dxa"/>
              <w:bottom w:w="80" w:type="dxa"/>
              <w:end w:w="120" w:type="dxa"/>
            </w:tcMar>
            <w:vAlign w:val="center"/>
          </w:tcPr>
          <w:p>
            <w:pPr>
              <w:spacing w:before="0" w:after="40" w:line="252" w:lineRule="auto"/>
              <w:jc w:val="center"/>
            </w:pPr>
            <w:r/>
            <w:r>
              <w:rPr>
                <w:rFonts w:ascii="Calibri" w:hAnsi="Calibri"/>
                <w:color w:val="000000"/>
                <w:sz w:val="17"/>
              </w:rPr>
              <w:t>Action supported under expected conditions</w:t>
            </w:r>
          </w:p>
        </w:tc>
      </w:tr>
      <w:tr>
        <w:trPr>
          <w:cantSplit/>
        </w:trPr>
        <w:tc>
          <w:tcPr>
            <w:tcW w:type="dxa" w:w="1450"/>
            <w:shd w:fill="F7F3ED"/>
            <w:tcMar>
              <w:top w:w="80" w:type="dxa"/>
              <w:start w:w="120" w:type="dxa"/>
              <w:bottom w:w="80" w:type="dxa"/>
              <w:end w:w="120" w:type="dxa"/>
            </w:tcMar>
            <w:vAlign w:val="center"/>
          </w:tcPr>
          <w:p>
            <w:pPr>
              <w:spacing w:before="0" w:after="40" w:line="252" w:lineRule="auto"/>
              <w:jc w:val="left"/>
            </w:pPr>
            <w:r/>
            <w:r>
              <w:rPr>
                <w:rFonts w:ascii="Calibri" w:hAnsi="Calibri"/>
                <w:color w:val="000000"/>
                <w:sz w:val="17"/>
              </w:rPr>
              <w:t>Upside</w:t>
            </w:r>
          </w:p>
        </w:tc>
        <w:tc>
          <w:tcPr>
            <w:tcW w:type="dxa" w:w="2700"/>
            <w:shd w:fill="F7F3ED"/>
            <w:tcMar>
              <w:top w:w="80" w:type="dxa"/>
              <w:start w:w="120" w:type="dxa"/>
              <w:bottom w:w="80" w:type="dxa"/>
              <w:end w:w="120" w:type="dxa"/>
            </w:tcMar>
            <w:vAlign w:val="center"/>
          </w:tcPr>
          <w:p>
            <w:pPr>
              <w:spacing w:before="0" w:after="40" w:line="252" w:lineRule="auto"/>
              <w:jc w:val="left"/>
            </w:pPr>
            <w:r/>
            <w:r>
              <w:rPr>
                <w:rFonts w:ascii="Calibri" w:hAnsi="Calibri"/>
                <w:color w:val="000000"/>
                <w:sz w:val="17"/>
              </w:rPr>
              <w:t>Stronger favorable driver outcome</w:t>
            </w:r>
          </w:p>
        </w:tc>
        <w:tc>
          <w:tcPr>
            <w:tcW w:type="dxa" w:w="2350"/>
            <w:shd w:fill="F7F3ED"/>
            <w:tcMar>
              <w:top w:w="80" w:type="dxa"/>
              <w:start w:w="120" w:type="dxa"/>
              <w:bottom w:w="80" w:type="dxa"/>
              <w:end w:w="120" w:type="dxa"/>
            </w:tcMar>
            <w:vAlign w:val="center"/>
          </w:tcPr>
          <w:p>
            <w:pPr>
              <w:spacing w:before="0" w:after="40" w:line="252" w:lineRule="auto"/>
              <w:jc w:val="left"/>
            </w:pPr>
            <w:r/>
            <w:r>
              <w:rPr>
                <w:rFonts w:ascii="Calibri" w:hAnsi="Calibri"/>
                <w:color w:val="000000"/>
                <w:sz w:val="17"/>
              </w:rPr>
              <w:t>Named leading indicators exceed the base path</w:t>
            </w:r>
          </w:p>
        </w:tc>
        <w:tc>
          <w:tcPr>
            <w:tcW w:type="dxa" w:w="1600"/>
            <w:shd w:fill="F7F3ED"/>
            <w:tcMar>
              <w:top w:w="80" w:type="dxa"/>
              <w:start w:w="120" w:type="dxa"/>
              <w:bottom w:w="80" w:type="dxa"/>
              <w:end w:w="120" w:type="dxa"/>
            </w:tcMar>
            <w:vAlign w:val="center"/>
          </w:tcPr>
          <w:p>
            <w:pPr>
              <w:spacing w:before="0" w:after="40" w:line="252" w:lineRule="auto"/>
              <w:jc w:val="left"/>
            </w:pPr>
            <w:r/>
            <w:r>
              <w:rPr>
                <w:rFonts w:ascii="Calibri" w:hAnsi="Calibri"/>
                <w:color w:val="000000"/>
                <w:sz w:val="17"/>
              </w:rPr>
              <w:t>Higher or earlier revenue, margin, or cash-flow path as relevant</w:t>
            </w:r>
          </w:p>
        </w:tc>
        <w:tc>
          <w:tcPr>
            <w:tcW w:type="dxa" w:w="1260"/>
            <w:shd w:fill="F7F3ED"/>
            <w:tcMar>
              <w:top w:w="80" w:type="dxa"/>
              <w:start w:w="120" w:type="dxa"/>
              <w:bottom w:w="80" w:type="dxa"/>
              <w:end w:w="120" w:type="dxa"/>
            </w:tcMar>
            <w:vAlign w:val="center"/>
          </w:tcPr>
          <w:p>
            <w:pPr>
              <w:spacing w:before="0" w:after="40" w:line="252" w:lineRule="auto"/>
              <w:jc w:val="center"/>
            </w:pPr>
            <w:r/>
            <w:r>
              <w:rPr>
                <w:rFonts w:ascii="Calibri" w:hAnsi="Calibri"/>
                <w:color w:val="000000"/>
                <w:sz w:val="17"/>
              </w:rPr>
              <w:t>Acceleration, added capacity, or other approved action may be justified</w:t>
            </w:r>
          </w:p>
        </w:tc>
      </w:tr>
      <w:tr>
        <w:trPr>
          <w:cantSplit/>
        </w:trPr>
        <w:tc>
          <w:tcPr>
            <w:tcW w:type="dxa" w:w="1450"/>
            <w:tcMar>
              <w:top w:w="80" w:type="dxa"/>
              <w:start w:w="120" w:type="dxa"/>
              <w:bottom w:w="80" w:type="dxa"/>
              <w:end w:w="120" w:type="dxa"/>
            </w:tcMar>
            <w:vAlign w:val="center"/>
          </w:tcPr>
          <w:p>
            <w:pPr>
              <w:spacing w:before="0" w:after="40" w:line="252" w:lineRule="auto"/>
              <w:jc w:val="left"/>
            </w:pPr>
            <w:r/>
            <w:r>
              <w:rPr>
                <w:rFonts w:ascii="Calibri" w:hAnsi="Calibri"/>
                <w:color w:val="000000"/>
                <w:sz w:val="17"/>
              </w:rPr>
              <w:t>Downside</w:t>
            </w:r>
          </w:p>
        </w:tc>
        <w:tc>
          <w:tcPr>
            <w:tcW w:type="dxa" w:w="2700"/>
            <w:tcMar>
              <w:top w:w="80" w:type="dxa"/>
              <w:start w:w="120" w:type="dxa"/>
              <w:bottom w:w="80" w:type="dxa"/>
              <w:end w:w="120" w:type="dxa"/>
            </w:tcMar>
            <w:vAlign w:val="center"/>
          </w:tcPr>
          <w:p>
            <w:pPr>
              <w:spacing w:before="0" w:after="40" w:line="252" w:lineRule="auto"/>
              <w:jc w:val="left"/>
            </w:pPr>
            <w:r/>
            <w:r>
              <w:rPr>
                <w:rFonts w:ascii="Calibri" w:hAnsi="Calibri"/>
                <w:color w:val="000000"/>
                <w:sz w:val="17"/>
              </w:rPr>
              <w:t>Weaker or adverse driver outcome</w:t>
            </w:r>
          </w:p>
        </w:tc>
        <w:tc>
          <w:tcPr>
            <w:tcW w:type="dxa" w:w="2350"/>
            <w:tcMar>
              <w:top w:w="80" w:type="dxa"/>
              <w:start w:w="120" w:type="dxa"/>
              <w:bottom w:w="80" w:type="dxa"/>
              <w:end w:w="120" w:type="dxa"/>
            </w:tcMar>
            <w:vAlign w:val="center"/>
          </w:tcPr>
          <w:p>
            <w:pPr>
              <w:spacing w:before="0" w:after="40" w:line="252" w:lineRule="auto"/>
              <w:jc w:val="left"/>
            </w:pPr>
            <w:r/>
            <w:r>
              <w:rPr>
                <w:rFonts w:ascii="Calibri" w:hAnsi="Calibri"/>
                <w:color w:val="000000"/>
                <w:sz w:val="17"/>
              </w:rPr>
              <w:t>Named falsification evidence or risk trigger appears</w:t>
            </w:r>
          </w:p>
        </w:tc>
        <w:tc>
          <w:tcPr>
            <w:tcW w:type="dxa" w:w="1600"/>
            <w:tcMar>
              <w:top w:w="80" w:type="dxa"/>
              <w:start w:w="120" w:type="dxa"/>
              <w:bottom w:w="80" w:type="dxa"/>
              <w:end w:w="120" w:type="dxa"/>
            </w:tcMar>
            <w:vAlign w:val="center"/>
          </w:tcPr>
          <w:p>
            <w:pPr>
              <w:spacing w:before="0" w:after="40" w:line="252" w:lineRule="auto"/>
              <w:jc w:val="left"/>
            </w:pPr>
            <w:r/>
            <w:r>
              <w:rPr>
                <w:rFonts w:ascii="Calibri" w:hAnsi="Calibri"/>
                <w:color w:val="000000"/>
                <w:sz w:val="17"/>
              </w:rPr>
              <w:t>Lower or delayed revenue, margin, or cash-flow path as relevant</w:t>
            </w:r>
          </w:p>
        </w:tc>
        <w:tc>
          <w:tcPr>
            <w:tcW w:type="dxa" w:w="1260"/>
            <w:tcMar>
              <w:top w:w="80" w:type="dxa"/>
              <w:start w:w="120" w:type="dxa"/>
              <w:bottom w:w="80" w:type="dxa"/>
              <w:end w:w="120" w:type="dxa"/>
            </w:tcMar>
            <w:vAlign w:val="center"/>
          </w:tcPr>
          <w:p>
            <w:pPr>
              <w:spacing w:before="0" w:after="40" w:line="252" w:lineRule="auto"/>
              <w:jc w:val="center"/>
            </w:pPr>
            <w:r/>
            <w:r>
              <w:rPr>
                <w:rFonts w:ascii="Calibri" w:hAnsi="Calibri"/>
                <w:color w:val="000000"/>
                <w:sz w:val="17"/>
              </w:rPr>
              <w:t>Stage, pause, mitigate, or reject the action</w:t>
            </w:r>
          </w:p>
        </w:tc>
      </w:tr>
    </w:tbl>
    <w:p>
      <w:pPr>
        <w:spacing w:before="0" w:after="40" w:line="264" w:lineRule="auto"/>
      </w:pPr>
    </w:p>
    <w:p>
      <w:pPr>
        <w:spacing w:before="0" w:after="120" w:line="264" w:lineRule="auto"/>
      </w:pPr>
      <w:r>
        <w:rPr>
          <w:rFonts w:ascii="Calibri" w:hAnsi="Calibri"/>
          <w:color w:val="000000"/>
          <w:sz w:val="22"/>
        </w:rPr>
        <w:t>Do not enter a valuation conclusion in this milestone unless it already exists from sourced work. Explain which forecast assumptions and valuation channels will change in Milestone 3.</w:t>
      </w:r>
    </w:p>
    <w:p>
      <w:pPr>
        <w:pStyle w:val="Heading3"/>
      </w:pPr>
      <w:r>
        <w:rPr>
          <w:rFonts w:ascii="Calibri" w:hAnsi="Calibri"/>
          <w:color w:val="0A2540"/>
          <w:sz w:val="24"/>
        </w:rPr>
        <w:t>8. Complete the skeptical-CFO challenge</w:t>
      </w:r>
    </w:p>
    <w:p>
      <w:pPr>
        <w:spacing w:before="0" w:after="120" w:line="264" w:lineRule="auto"/>
      </w:pPr>
      <w:r>
        <w:rPr>
          <w:rFonts w:ascii="Calibri" w:hAnsi="Calibri"/>
          <w:color w:val="000000"/>
          <w:sz w:val="22"/>
        </w:rPr>
        <w:t>Choose one path. Neither path requires a paid feature.</w:t>
      </w:r>
    </w:p>
    <w:p>
      <w:pPr>
        <w:spacing w:before="0" w:after="120" w:line="264" w:lineRule="auto"/>
      </w:pPr>
      <w:r>
        <w:rPr>
          <w:rFonts w:ascii="Calibri" w:hAnsi="Calibri"/>
          <w:b/>
          <w:color w:val="000000"/>
          <w:sz w:val="22"/>
        </w:rPr>
        <w:t>Free-AI path:</w:t>
      </w:r>
      <w:r>
        <w:rPr>
          <w:rFonts w:ascii="Calibri" w:hAnsi="Calibri"/>
          <w:color w:val="000000"/>
          <w:sz w:val="22"/>
        </w:rPr>
        <w:t xml:space="preserve"> Provide a free text-based AI tool only a sanitized, student-written summary of the hypothesis. Ask it to act as a skeptical CFO, identify weak assumptions, propose alternatives, and state falsification evidence. Do not upload a workbook, raw FactSet export, FactSet screenshot, personal information, instructor-only material, or nonpublic company information.</w:t>
      </w:r>
    </w:p>
    <w:p>
      <w:pPr>
        <w:spacing w:before="0" w:after="120" w:line="264" w:lineRule="auto"/>
      </w:pPr>
      <w:r>
        <w:rPr>
          <w:rFonts w:ascii="Calibri" w:hAnsi="Calibri"/>
          <w:b/>
          <w:color w:val="000000"/>
          <w:sz w:val="22"/>
        </w:rPr>
        <w:t>Non-AI path:</w:t>
      </w:r>
      <w:r>
        <w:rPr>
          <w:rFonts w:ascii="Calibri" w:hAnsi="Calibri"/>
          <w:color w:val="000000"/>
          <w:sz w:val="22"/>
        </w:rPr>
        <w:t xml:space="preserve"> Use the instructor-provided skeptical-CFO questions to generate the same challenge record yourself.</w:t>
      </w:r>
    </w:p>
    <w:p>
      <w:pPr>
        <w:spacing w:before="0" w:after="120" w:line="264" w:lineRule="auto"/>
      </w:pPr>
      <w:r>
        <w:rPr>
          <w:rFonts w:ascii="Calibri" w:hAnsi="Calibri"/>
          <w:color w:val="000000"/>
          <w:sz w:val="22"/>
        </w:rPr>
        <w:t>Under either path, record:</w:t>
      </w:r>
    </w:p>
    <w:p>
      <w:pPr>
        <w:spacing w:before="0" w:after="160" w:line="280" w:lineRule="auto"/>
        <w:numPr>
          <w:ilvl w:val="0"/>
          <w:numId w:val="12"/>
        </w:numPr>
      </w:pPr>
      <w:r>
        <w:rPr>
          <w:rFonts w:ascii="Calibri" w:hAnsi="Calibri"/>
          <w:color w:val="000000"/>
          <w:sz w:val="22"/>
        </w:rPr>
        <w:t>Original hypothesis.</w:t>
      </w:r>
    </w:p>
    <w:p>
      <w:pPr>
        <w:spacing w:before="0" w:after="160" w:line="280" w:lineRule="auto"/>
        <w:numPr>
          <w:ilvl w:val="0"/>
          <w:numId w:val="12"/>
        </w:numPr>
      </w:pPr>
      <w:r>
        <w:rPr>
          <w:rFonts w:ascii="Calibri" w:hAnsi="Calibri"/>
          <w:color w:val="000000"/>
          <w:sz w:val="22"/>
        </w:rPr>
        <w:t>Strongest challenge or alternative explanation.</w:t>
      </w:r>
    </w:p>
    <w:p>
      <w:pPr>
        <w:spacing w:before="0" w:after="160" w:line="280" w:lineRule="auto"/>
        <w:numPr>
          <w:ilvl w:val="0"/>
          <w:numId w:val="12"/>
        </w:numPr>
      </w:pPr>
      <w:r>
        <w:rPr>
          <w:rFonts w:ascii="Calibri" w:hAnsi="Calibri"/>
          <w:color w:val="000000"/>
          <w:sz w:val="22"/>
        </w:rPr>
        <w:t>SEC, FactSet, Excel, course, or other credible evidence independently checked.</w:t>
      </w:r>
    </w:p>
    <w:p>
      <w:pPr>
        <w:spacing w:before="0" w:after="160" w:line="280" w:lineRule="auto"/>
        <w:numPr>
          <w:ilvl w:val="0"/>
          <w:numId w:val="12"/>
        </w:numPr>
      </w:pPr>
      <w:r>
        <w:rPr>
          <w:rFonts w:ascii="Calibri" w:hAnsi="Calibri"/>
          <w:color w:val="000000"/>
          <w:sz w:val="22"/>
        </w:rPr>
        <w:t>Finding and limitation.</w:t>
      </w:r>
    </w:p>
    <w:p>
      <w:pPr>
        <w:spacing w:before="0" w:after="160" w:line="280" w:lineRule="auto"/>
        <w:numPr>
          <w:ilvl w:val="0"/>
          <w:numId w:val="12"/>
        </w:numPr>
      </w:pPr>
      <w:r>
        <w:rPr>
          <w:rFonts w:ascii="Calibri" w:hAnsi="Calibri"/>
          <w:color w:val="000000"/>
          <w:sz w:val="22"/>
        </w:rPr>
        <w:t>Accept, modify, or reject judgment.</w:t>
      </w:r>
    </w:p>
    <w:p>
      <w:pPr>
        <w:spacing w:before="0" w:after="160" w:line="280" w:lineRule="auto"/>
        <w:numPr>
          <w:ilvl w:val="0"/>
          <w:numId w:val="12"/>
        </w:numPr>
      </w:pPr>
      <w:r>
        <w:rPr>
          <w:rFonts w:ascii="Calibri" w:hAnsi="Calibri"/>
          <w:color w:val="000000"/>
          <w:sz w:val="22"/>
        </w:rPr>
        <w:t>Revised hypothesis.</w:t>
      </w:r>
    </w:p>
    <w:p>
      <w:pPr>
        <w:spacing w:before="0" w:after="160" w:line="280" w:lineRule="auto"/>
        <w:numPr>
          <w:ilvl w:val="0"/>
          <w:numId w:val="12"/>
        </w:numPr>
      </w:pPr>
      <w:r>
        <w:rPr>
          <w:rFonts w:ascii="Calibri" w:hAnsi="Calibri"/>
          <w:color w:val="000000"/>
          <w:sz w:val="22"/>
        </w:rPr>
        <w:t>Tool/use disclosure or non-AI statement.</w:t>
      </w:r>
    </w:p>
    <w:p>
      <w:pPr>
        <w:spacing w:before="0" w:after="120" w:line="264" w:lineRule="auto"/>
      </w:pPr>
      <w:r>
        <w:rPr>
          <w:rFonts w:ascii="Calibri" w:hAnsi="Calibri"/>
          <w:color w:val="000000"/>
          <w:sz w:val="22"/>
        </w:rPr>
        <w:t>AI output is never a source. Student judgment is required even when the challenge is useful.</w:t>
      </w:r>
    </w:p>
    <w:p>
      <w:pPr>
        <w:pStyle w:val="Heading2"/>
      </w:pPr>
      <w:r>
        <w:rPr>
          <w:rFonts w:ascii="Calibri" w:hAnsi="Calibri"/>
          <w:color w:val="175FA9"/>
          <w:sz w:val="26"/>
        </w:rPr>
        <w:t>Evidence and FactSet standard</w:t>
      </w:r>
    </w:p>
    <w:p>
      <w:pPr>
        <w:spacing w:before="0" w:after="120" w:line="264" w:lineRule="auto"/>
      </w:pPr>
      <w:r>
        <w:rPr>
          <w:rFonts w:ascii="Calibri" w:hAnsi="Calibri"/>
          <w:color w:val="000000"/>
          <w:sz w:val="22"/>
        </w:rPr>
        <w:t xml:space="preserve">Students may use all relevant FactSet data in BUS311 course work. Every material number, definition, comparison, chart, and assumption must be traceable through the </w:t>
      </w:r>
      <w:r>
        <w:rPr>
          <w:rFonts w:ascii="Calibri" w:hAnsi="Calibri"/>
          <w:b/>
          <w:color w:val="000000"/>
          <w:sz w:val="22"/>
        </w:rPr>
        <w:t>Evidence Register</w:t>
      </w:r>
      <w:r>
        <w:rPr>
          <w:rFonts w:ascii="Calibri" w:hAnsi="Calibri"/>
          <w:color w:val="000000"/>
          <w:sz w:val="22"/>
        </w:rPr>
        <w:t xml:space="preserve"> sheet.</w:t>
      </w:r>
    </w:p>
    <w:p>
      <w:pPr>
        <w:spacing w:before="0" w:after="120" w:line="264" w:lineRule="auto"/>
      </w:pPr>
      <w:r>
        <w:rPr>
          <w:rFonts w:ascii="Calibri" w:hAnsi="Calibri"/>
          <w:color w:val="000000"/>
          <w:sz w:val="22"/>
        </w:rPr>
        <w:t>For FactSet evidence, label:</w:t>
      </w:r>
    </w:p>
    <w:p>
      <w:pPr>
        <w:pStyle w:val="ListBullet"/>
      </w:pPr>
      <w:r>
        <w:rPr>
          <w:rFonts w:ascii="Calibri" w:hAnsi="Calibri"/>
          <w:color w:val="000000"/>
          <w:sz w:val="22"/>
        </w:rPr>
        <w:t>FactSet as the source.</w:t>
      </w:r>
    </w:p>
    <w:p>
      <w:pPr>
        <w:pStyle w:val="ListBullet"/>
      </w:pPr>
      <w:r>
        <w:rPr>
          <w:rFonts w:ascii="Calibri" w:hAnsi="Calibri"/>
          <w:color w:val="000000"/>
          <w:sz w:val="22"/>
        </w:rPr>
        <w:t>Report, screen, chart, or metric name.</w:t>
      </w:r>
    </w:p>
    <w:p>
      <w:pPr>
        <w:pStyle w:val="ListBullet"/>
      </w:pPr>
      <w:r>
        <w:rPr>
          <w:rFonts w:ascii="Calibri" w:hAnsi="Calibri"/>
          <w:color w:val="000000"/>
          <w:sz w:val="22"/>
        </w:rPr>
        <w:t>Data-through or retrieval date.</w:t>
      </w:r>
    </w:p>
    <w:p>
      <w:pPr>
        <w:pStyle w:val="ListBullet"/>
      </w:pPr>
      <w:r>
        <w:rPr>
          <w:rFonts w:ascii="Calibri" w:hAnsi="Calibri"/>
          <w:color w:val="000000"/>
          <w:sz w:val="22"/>
        </w:rPr>
        <w:t>Fiscal period, units, and currency.</w:t>
      </w:r>
    </w:p>
    <w:p>
      <w:pPr>
        <w:pStyle w:val="ListBullet"/>
      </w:pPr>
      <w:r>
        <w:rPr>
          <w:rFonts w:ascii="Calibri" w:hAnsi="Calibri"/>
          <w:color w:val="000000"/>
          <w:sz w:val="22"/>
        </w:rPr>
        <w:t>Definition or adjustment when not obvious.</w:t>
      </w:r>
    </w:p>
    <w:p>
      <w:pPr>
        <w:pStyle w:val="ListBullet"/>
      </w:pPr>
      <w:r>
        <w:rPr>
          <w:rFonts w:ascii="Calibri" w:hAnsi="Calibri"/>
          <w:color w:val="000000"/>
          <w:sz w:val="22"/>
        </w:rPr>
        <w:t>Peer group and selection rationale when applicable.</w:t>
      </w:r>
    </w:p>
    <w:p>
      <w:pPr>
        <w:pStyle w:val="ListBullet"/>
      </w:pPr>
      <w:r>
        <w:rPr>
          <w:rFonts w:ascii="Calibri" w:hAnsi="Calibri"/>
          <w:color w:val="000000"/>
          <w:sz w:val="22"/>
        </w:rPr>
        <w:t>How the evidence is used and any comparability limitation.</w:t>
      </w:r>
    </w:p>
    <w:p>
      <w:pPr>
        <w:spacing w:before="0" w:after="120" w:line="264" w:lineRule="auto"/>
      </w:pPr>
      <w:r>
        <w:rPr>
          <w:rFonts w:ascii="Calibri" w:hAnsi="Calibri"/>
          <w:color w:val="000000"/>
          <w:sz w:val="22"/>
        </w:rPr>
        <w:t>For SEC evidence, label the form type, filing date, fiscal period, exact item/page/table or note, definition, and use. A generic investor-relations or annual-report homepage is not a sufficient citation.</w:t>
      </w:r>
    </w:p>
    <w:p>
      <w:pPr>
        <w:spacing w:before="0" w:after="120" w:line="264" w:lineRule="auto"/>
      </w:pPr>
      <w:r>
        <w:rPr>
          <w:rFonts w:ascii="Calibri" w:hAnsi="Calibri"/>
          <w:color w:val="000000"/>
          <w:sz w:val="22"/>
        </w:rPr>
        <w:t>For all sources:</w:t>
      </w:r>
    </w:p>
    <w:p>
      <w:pPr>
        <w:pStyle w:val="ListBullet"/>
      </w:pPr>
      <w:r>
        <w:rPr>
          <w:rFonts w:ascii="Calibri" w:hAnsi="Calibri"/>
          <w:color w:val="000000"/>
          <w:sz w:val="22"/>
        </w:rPr>
        <w:t>Use one evidence ID in the register, then reference that ID in working sheets.</w:t>
      </w:r>
    </w:p>
    <w:p>
      <w:pPr>
        <w:pStyle w:val="ListBullet"/>
      </w:pPr>
      <w:r>
        <w:rPr>
          <w:rFonts w:ascii="Calibri" w:hAnsi="Calibri"/>
          <w:color w:val="000000"/>
          <w:sz w:val="22"/>
        </w:rPr>
        <w:t>Reconcile conflicting figures or explain why definitions differ.</w:t>
      </w:r>
    </w:p>
    <w:p>
      <w:pPr>
        <w:pStyle w:val="ListBullet"/>
      </w:pPr>
      <w:r>
        <w:rPr>
          <w:rFonts w:ascii="Calibri" w:hAnsi="Calibri"/>
          <w:color w:val="000000"/>
          <w:sz w:val="22"/>
        </w:rPr>
        <w:t>Distinguish reported facts, calculations, assumptions, and interpretations.</w:t>
      </w:r>
    </w:p>
    <w:p>
      <w:pPr>
        <w:pStyle w:val="ListBullet"/>
      </w:pPr>
      <w:r>
        <w:rPr>
          <w:rFonts w:ascii="Calibri" w:hAnsi="Calibri"/>
          <w:color w:val="000000"/>
          <w:sz w:val="22"/>
        </w:rPr>
        <w:t>State a limitation when evidence is unavailable.</w:t>
      </w:r>
    </w:p>
    <w:p>
      <w:pPr>
        <w:pStyle w:val="ListBullet"/>
      </w:pPr>
      <w:r>
        <w:rPr>
          <w:rFonts w:ascii="Calibri" w:hAnsi="Calibri"/>
          <w:color w:val="000000"/>
          <w:sz w:val="22"/>
        </w:rPr>
        <w:t>Do not use AI-generated figures or chart images as financial evidence.</w:t>
      </w:r>
    </w:p>
    <w:p>
      <w:pPr>
        <w:pStyle w:val="Heading2"/>
      </w:pPr>
      <w:r>
        <w:rPr>
          <w:rFonts w:ascii="Calibri" w:hAnsi="Calibri"/>
          <w:color w:val="175FA9"/>
          <w:sz w:val="26"/>
        </w:rPr>
        <w:t>LO2–LO3 alignment</w:t>
      </w:r>
    </w:p>
    <w:p>
      <w:pPr>
        <w:pStyle w:val="Heading3"/>
      </w:pPr>
      <w:r>
        <w:rPr>
          <w:rFonts w:ascii="Calibri" w:hAnsi="Calibri"/>
          <w:color w:val="0A2540"/>
          <w:sz w:val="24"/>
        </w:rPr>
        <w:t>LO2 — Explain the key financial statements and the information each provides</w:t>
      </w:r>
    </w:p>
    <w:p>
      <w:pPr>
        <w:spacing w:before="0" w:after="120" w:line="264" w:lineRule="auto"/>
      </w:pPr>
      <w:r>
        <w:rPr>
          <w:rFonts w:ascii="Calibri" w:hAnsi="Calibri"/>
          <w:color w:val="000000"/>
          <w:sz w:val="22"/>
        </w:rPr>
        <w:t>Revenue history begins with the income statement but must also use the balance sheet, cash-flow statement, and filing notes when they explain receivables, contract liabilities, inventory, capital intensity, acquisitions, cash conversion, segment definitions, or revenue-recognition timing. Explain what each selected statement or note contributes to the revenue diagnosis.</w:t>
      </w:r>
    </w:p>
    <w:p>
      <w:pPr>
        <w:pStyle w:val="Heading3"/>
      </w:pPr>
      <w:r>
        <w:rPr>
          <w:rFonts w:ascii="Calibri" w:hAnsi="Calibri"/>
          <w:color w:val="0A2540"/>
          <w:sz w:val="24"/>
        </w:rPr>
        <w:t>LO3 — Conduct ratio analysis using balance sheets and income statements</w:t>
      </w:r>
    </w:p>
    <w:p>
      <w:pPr>
        <w:spacing w:before="0" w:after="120" w:line="264" w:lineRule="auto"/>
      </w:pPr>
      <w:r>
        <w:rPr>
          <w:rFonts w:ascii="Calibri" w:hAnsi="Calibri"/>
          <w:color w:val="000000"/>
          <w:sz w:val="22"/>
        </w:rPr>
        <w:t>Calculate and interpret company trends and relevant peer comparisons that illuminate revenue generation. Depending on company fit, these may include growth, margins, asset turnover, receivables turnover, days sales outstanding, inventory turnover, deferred-revenue relationships, sales per location, utilization, or another supportable operating ratio. Use ratios to distinguish drivers and alternatives; do not submit a mechanical list.</w:t>
      </w:r>
    </w:p>
    <w:p>
      <w:pPr>
        <w:pStyle w:val="Heading2"/>
      </w:pPr>
      <w:r>
        <w:rPr>
          <w:rFonts w:ascii="Calibri" w:hAnsi="Calibri"/>
          <w:color w:val="175FA9"/>
          <w:sz w:val="26"/>
        </w:rPr>
        <w:t>Eight-point milestone rubric</w:t>
      </w:r>
    </w:p>
    <w:tbl>
      <w:tblPr>
        <w:tblStyle w:val="TableGrid"/>
        <w:tblW w:type="dxa" w:w="9360"/>
        <w:jc w:val="left"/>
        <w:tblLayout w:type="fixed"/>
        <w:tblLook w:firstColumn="1" w:firstRow="1" w:lastColumn="0" w:lastRow="0" w:noHBand="0" w:noVBand="1" w:val="04A0"/>
        <w:tblInd w:w="120" w:type="dxa"/>
      </w:tblPr>
      <w:tblGrid>
        <w:gridCol w:w="2200"/>
        <w:gridCol w:w="3480"/>
        <w:gridCol w:w="3680"/>
      </w:tblGrid>
      <w:tr>
        <w:trPr>
          <w:tblHeader w:val="true"/>
          <w:cantSplit/>
        </w:trPr>
        <w:tc>
          <w:tcPr>
            <w:tcW w:type="dxa" w:w="2200"/>
            <w:shd w:fill="EAF2F8"/>
            <w:tcMar>
              <w:top w:w="80" w:type="dxa"/>
              <w:start w:w="120" w:type="dxa"/>
              <w:bottom w:w="80" w:type="dxa"/>
              <w:end w:w="120" w:type="dxa"/>
            </w:tcMar>
            <w:vAlign w:val="center"/>
          </w:tcPr>
          <w:p>
            <w:pPr>
              <w:spacing w:before="0" w:after="40" w:line="252" w:lineRule="auto"/>
              <w:jc w:val="left"/>
            </w:pPr>
            <w:r>
              <w:rPr>
                <w:b/>
              </w:rPr>
            </w:r>
            <w:r>
              <w:rPr>
                <w:rFonts w:ascii="Calibri" w:hAnsi="Calibri"/>
                <w:b/>
                <w:color w:val="0A2540"/>
                <w:sz w:val="19"/>
              </w:rPr>
              <w:t>Criterion</w:t>
            </w:r>
          </w:p>
        </w:tc>
        <w:tc>
          <w:tcPr>
            <w:tcW w:type="dxa" w:w="3480"/>
            <w:shd w:fill="EAF2F8"/>
            <w:tcMar>
              <w:top w:w="80" w:type="dxa"/>
              <w:start w:w="120" w:type="dxa"/>
              <w:bottom w:w="80" w:type="dxa"/>
              <w:end w:w="120" w:type="dxa"/>
            </w:tcMar>
            <w:vAlign w:val="center"/>
          </w:tcPr>
          <w:p>
            <w:pPr>
              <w:spacing w:before="0" w:after="40" w:line="252" w:lineRule="auto"/>
              <w:jc w:val="left"/>
            </w:pPr>
            <w:r>
              <w:rPr>
                <w:b/>
              </w:rPr>
            </w:r>
            <w:r>
              <w:rPr>
                <w:rFonts w:ascii="Calibri" w:hAnsi="Calibri"/>
                <w:b/>
                <w:color w:val="0A2540"/>
                <w:sz w:val="19"/>
              </w:rPr>
              <w:t>Points</w:t>
            </w:r>
          </w:p>
        </w:tc>
        <w:tc>
          <w:tcPr>
            <w:tcW w:type="dxa" w:w="3680"/>
            <w:shd w:fill="EAF2F8"/>
            <w:tcMar>
              <w:top w:w="80" w:type="dxa"/>
              <w:start w:w="120" w:type="dxa"/>
              <w:bottom w:w="80" w:type="dxa"/>
              <w:end w:w="120" w:type="dxa"/>
            </w:tcMar>
            <w:vAlign w:val="center"/>
          </w:tcPr>
          <w:p>
            <w:pPr>
              <w:spacing w:before="0" w:after="40" w:line="252" w:lineRule="auto"/>
              <w:jc w:val="left"/>
            </w:pPr>
            <w:r>
              <w:rPr>
                <w:b/>
              </w:rPr>
            </w:r>
            <w:r>
              <w:rPr>
                <w:rFonts w:ascii="Calibri" w:hAnsi="Calibri"/>
                <w:b/>
                <w:color w:val="0A2540"/>
                <w:sz w:val="19"/>
              </w:rPr>
              <w:t>Evidence used for scoring</w:t>
            </w:r>
          </w:p>
        </w:tc>
      </w:tr>
      <w:tr>
        <w:trPr>
          <w:cantSplit/>
        </w:trPr>
        <w:tc>
          <w:tcPr>
            <w:tcW w:type="dxa" w:w="2200"/>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Revenue-engine map</w:t>
            </w:r>
          </w:p>
        </w:tc>
        <w:tc>
          <w:tcPr>
            <w:tcW w:type="dxa" w:w="3480"/>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1.00</w:t>
            </w:r>
          </w:p>
        </w:tc>
        <w:tc>
          <w:tcPr>
            <w:tcW w:type="dxa" w:w="3680"/>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All eight dimensions are company-specific, sourced, and connected to management levers</w:t>
            </w:r>
          </w:p>
        </w:tc>
      </w:tr>
      <w:tr>
        <w:trPr>
          <w:cantSplit/>
        </w:trPr>
        <w:tc>
          <w:tcPr>
            <w:tcW w:type="dxa" w:w="2200"/>
            <w:shd w:fill="F7F3ED"/>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Revenue history and comparability</w:t>
            </w:r>
          </w:p>
        </w:tc>
        <w:tc>
          <w:tcPr>
            <w:tcW w:type="dxa" w:w="3480"/>
            <w:shd w:fill="F7F3ED"/>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1.25</w:t>
            </w:r>
          </w:p>
        </w:tc>
        <w:tc>
          <w:tcPr>
            <w:tcW w:type="dxa" w:w="3680"/>
            <w:shd w:fill="F7F3ED"/>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Three to five years of total and material segment revenue; units, definitions, changes, growth, and reconciliation are clear</w:t>
            </w:r>
          </w:p>
        </w:tc>
      </w:tr>
      <w:tr>
        <w:trPr>
          <w:cantSplit/>
        </w:trPr>
        <w:tc>
          <w:tcPr>
            <w:tcW w:type="dxa" w:w="2200"/>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Driver decomposition</w:t>
            </w:r>
          </w:p>
        </w:tc>
        <w:tc>
          <w:tcPr>
            <w:tcW w:type="dxa" w:w="3480"/>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1.25</w:t>
            </w:r>
          </w:p>
        </w:tc>
        <w:tc>
          <w:tcPr>
            <w:tcW w:type="dxa" w:w="3680"/>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Three to six company-relevant drivers distinguish quantified/directional evidence and durable/temporary effects</w:t>
            </w:r>
          </w:p>
        </w:tc>
      </w:tr>
      <w:tr>
        <w:trPr>
          <w:cantSplit/>
        </w:trPr>
        <w:tc>
          <w:tcPr>
            <w:tcW w:type="dxa" w:w="2200"/>
            <w:shd w:fill="F7F3ED"/>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Industry, competitors, peers, and market share</w:t>
            </w:r>
          </w:p>
        </w:tc>
        <w:tc>
          <w:tcPr>
            <w:tcW w:type="dxa" w:w="3480"/>
            <w:shd w:fill="F7F3ED"/>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1.00</w:t>
            </w:r>
          </w:p>
        </w:tc>
        <w:tc>
          <w:tcPr>
            <w:tcW w:type="dxa" w:w="3680"/>
            <w:shd w:fill="F7F3ED"/>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Demand context, competitors, defensible peer group, comparable growth, and supportable market-share treatment</w:t>
            </w:r>
          </w:p>
        </w:tc>
      </w:tr>
      <w:tr>
        <w:trPr>
          <w:cantSplit/>
        </w:trPr>
        <w:tc>
          <w:tcPr>
            <w:tcW w:type="dxa" w:w="2200"/>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Leading indicators and revenue risks</w:t>
            </w:r>
          </w:p>
        </w:tc>
        <w:tc>
          <w:tcPr>
            <w:tcW w:type="dxa" w:w="3480"/>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1.00</w:t>
            </w:r>
          </w:p>
        </w:tc>
        <w:tc>
          <w:tcPr>
            <w:tcW w:type="dxa" w:w="3680"/>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Four to six indicators plus concentrations, seasonality, capacity constraints, and three to five principal risks with triggers</w:t>
            </w:r>
          </w:p>
        </w:tc>
      </w:tr>
      <w:tr>
        <w:trPr>
          <w:cantSplit/>
        </w:trPr>
        <w:tc>
          <w:tcPr>
            <w:tcW w:type="dxa" w:w="2200"/>
            <w:shd w:fill="F7F3ED"/>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Testable revenue hypothesis</w:t>
            </w:r>
          </w:p>
        </w:tc>
        <w:tc>
          <w:tcPr>
            <w:tcW w:type="dxa" w:w="3480"/>
            <w:shd w:fill="F7F3ED"/>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1.25</w:t>
            </w:r>
          </w:p>
        </w:tc>
        <w:tc>
          <w:tcPr>
            <w:tcW w:type="dxa" w:w="3680"/>
            <w:shd w:fill="F7F3ED"/>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One specific claim names mechanism, effect, period, support, falsification evidence, and alternative explanation</w:t>
            </w:r>
          </w:p>
        </w:tc>
      </w:tr>
      <w:tr>
        <w:trPr>
          <w:cantSplit/>
        </w:trPr>
        <w:tc>
          <w:tcPr>
            <w:tcW w:type="dxa" w:w="2200"/>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Forecast, valuation, CFO, evidence, and challenge linkage</w:t>
            </w:r>
          </w:p>
        </w:tc>
        <w:tc>
          <w:tcPr>
            <w:tcW w:type="dxa" w:w="3480"/>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1.25</w:t>
            </w:r>
          </w:p>
        </w:tc>
        <w:tc>
          <w:tcPr>
            <w:tcW w:type="dxa" w:w="3680"/>
            <w:tcMar>
              <w:top w:w="80" w:type="dxa"/>
              <w:start w:w="120" w:type="dxa"/>
              <w:bottom w:w="80" w:type="dxa"/>
              <w:end w:w="120" w:type="dxa"/>
            </w:tcMar>
            <w:vAlign w:val="center"/>
          </w:tcPr>
          <w:p>
            <w:pPr>
              <w:spacing w:before="0" w:after="40" w:line="252" w:lineRule="auto"/>
              <w:jc w:val="left"/>
            </w:pPr>
            <w:r/>
            <w:r>
              <w:rPr>
                <w:rFonts w:ascii="Calibri" w:hAnsi="Calibri"/>
                <w:color w:val="000000"/>
                <w:sz w:val="19"/>
              </w:rPr>
              <w:t>Base/upside/downside bridge, CFO decision relevance, complete evidence register, and verified skeptical-CFO judgment</w:t>
            </w:r>
          </w:p>
        </w:tc>
      </w:tr>
      <w:tr>
        <w:trPr>
          <w:cantSplit/>
        </w:trPr>
        <w:tc>
          <w:tcPr>
            <w:tcW w:type="dxa" w:w="2200"/>
            <w:shd w:fill="F7F3ED"/>
            <w:tcMar>
              <w:top w:w="80" w:type="dxa"/>
              <w:start w:w="120" w:type="dxa"/>
              <w:bottom w:w="80" w:type="dxa"/>
              <w:end w:w="120" w:type="dxa"/>
            </w:tcMar>
            <w:vAlign w:val="center"/>
          </w:tcPr>
          <w:p>
            <w:pPr>
              <w:spacing w:before="0" w:after="40" w:line="252" w:lineRule="auto"/>
              <w:jc w:val="left"/>
            </w:pPr>
            <w:r/>
            <w:r>
              <w:rPr>
                <w:rFonts w:ascii="Calibri" w:hAnsi="Calibri"/>
                <w:b/>
                <w:color w:val="000000"/>
                <w:sz w:val="19"/>
              </w:rPr>
              <w:t>Total</w:t>
            </w:r>
          </w:p>
        </w:tc>
        <w:tc>
          <w:tcPr>
            <w:tcW w:type="dxa" w:w="3480"/>
            <w:shd w:fill="F7F3ED"/>
            <w:tcMar>
              <w:top w:w="80" w:type="dxa"/>
              <w:start w:w="120" w:type="dxa"/>
              <w:bottom w:w="80" w:type="dxa"/>
              <w:end w:w="120" w:type="dxa"/>
            </w:tcMar>
            <w:vAlign w:val="center"/>
          </w:tcPr>
          <w:p>
            <w:pPr>
              <w:spacing w:before="0" w:after="40" w:line="252" w:lineRule="auto"/>
              <w:jc w:val="left"/>
            </w:pPr>
            <w:r/>
            <w:r>
              <w:rPr>
                <w:rFonts w:ascii="Calibri" w:hAnsi="Calibri"/>
                <w:b/>
                <w:color w:val="000000"/>
                <w:sz w:val="19"/>
              </w:rPr>
              <w:t>8.00</w:t>
            </w:r>
          </w:p>
        </w:tc>
        <w:tc>
          <w:tcPr>
            <w:tcW w:type="dxa" w:w="3680"/>
            <w:shd w:fill="F7F3ED"/>
            <w:tcMar>
              <w:top w:w="80" w:type="dxa"/>
              <w:start w:w="120" w:type="dxa"/>
              <w:bottom w:w="80" w:type="dxa"/>
              <w:end w:w="120" w:type="dxa"/>
            </w:tcMar>
            <w:vAlign w:val="center"/>
          </w:tcPr>
          <w:p>
            <w:pPr>
              <w:spacing w:before="0" w:after="40" w:line="252" w:lineRule="auto"/>
              <w:jc w:val="left"/>
            </w:pPr>
            <w:r/>
            <w:r>
              <w:rPr>
                <w:rFonts w:ascii="Calibri" w:hAnsi="Calibri"/>
                <w:b/>
                <w:color w:val="000000"/>
                <w:sz w:val="19"/>
              </w:rPr>
              <w:t>Part of the capstone's 25 milestone/model/revision points</w:t>
            </w:r>
          </w:p>
        </w:tc>
      </w:tr>
    </w:tbl>
    <w:p>
      <w:pPr>
        <w:spacing w:before="0" w:after="40" w:line="264" w:lineRule="auto"/>
      </w:pPr>
    </w:p>
    <w:p>
      <w:pPr>
        <w:spacing w:before="0" w:after="120" w:line="264" w:lineRule="auto"/>
      </w:pPr>
      <w:r>
        <w:rPr>
          <w:rFonts w:ascii="Calibri" w:hAnsi="Calibri"/>
          <w:color w:val="000000"/>
          <w:sz w:val="22"/>
        </w:rPr>
        <w:t>The detailed performance-level rubric is provided separately. Missing, invented, or unusable evidence may receive zero within the affected criterion.</w:t>
      </w:r>
    </w:p>
    <w:p>
      <w:pPr>
        <w:pStyle w:val="Heading2"/>
      </w:pPr>
      <w:r>
        <w:rPr>
          <w:rFonts w:ascii="Calibri" w:hAnsi="Calibri"/>
          <w:color w:val="175FA9"/>
          <w:sz w:val="26"/>
        </w:rPr>
        <w:t>Before you submit</w:t>
      </w:r>
    </w:p>
    <w:p>
      <w:pPr>
        <w:pStyle w:val="ListBullet"/>
      </w:pPr>
      <w:r>
        <w:rPr>
          <w:rFonts w:ascii="Calibri" w:hAnsi="Calibri"/>
          <w:color w:val="000000"/>
          <w:sz w:val="22"/>
        </w:rPr>
        <w:t>The approved company and CFO decision remain unchanged or an approved revision is documented.</w:t>
      </w:r>
    </w:p>
    <w:p>
      <w:pPr>
        <w:pStyle w:val="ListBullet"/>
      </w:pPr>
      <w:r>
        <w:rPr>
          <w:rFonts w:ascii="Calibri" w:hAnsi="Calibri"/>
          <w:color w:val="000000"/>
          <w:sz w:val="22"/>
        </w:rPr>
        <w:t>All eight revenue-engine dimensions are completed.</w:t>
      </w:r>
    </w:p>
    <w:p>
      <w:pPr>
        <w:pStyle w:val="ListBullet"/>
      </w:pPr>
      <w:r>
        <w:rPr>
          <w:rFonts w:ascii="Calibri" w:hAnsi="Calibri"/>
          <w:color w:val="000000"/>
          <w:sz w:val="22"/>
        </w:rPr>
        <w:t>Three to five comparable fiscal years of total revenue are entered.</w:t>
      </w:r>
    </w:p>
    <w:p>
      <w:pPr>
        <w:pStyle w:val="ListBullet"/>
      </w:pPr>
      <w:r>
        <w:rPr>
          <w:rFonts w:ascii="Calibri" w:hAnsi="Calibri"/>
          <w:color w:val="000000"/>
          <w:sz w:val="22"/>
        </w:rPr>
        <w:t>Material segment or business-line revenue is entered or the disclosure limitation is explained.</w:t>
      </w:r>
    </w:p>
    <w:p>
      <w:pPr>
        <w:pStyle w:val="ListBullet"/>
      </w:pPr>
      <w:r>
        <w:rPr>
          <w:rFonts w:ascii="Calibri" w:hAnsi="Calibri"/>
          <w:color w:val="000000"/>
          <w:sz w:val="22"/>
        </w:rPr>
        <w:t>Segment sums and reported total revenue reconcile or the difference is explained.</w:t>
      </w:r>
    </w:p>
    <w:p>
      <w:pPr>
        <w:pStyle w:val="ListBullet"/>
      </w:pPr>
      <w:r>
        <w:rPr>
          <w:rFonts w:ascii="Calibri" w:hAnsi="Calibri"/>
          <w:color w:val="000000"/>
          <w:sz w:val="22"/>
        </w:rPr>
        <w:t>Three to six material drivers are analyzed using disclosed or credible evidence.</w:t>
      </w:r>
    </w:p>
    <w:p>
      <w:pPr>
        <w:pStyle w:val="ListBullet"/>
      </w:pPr>
      <w:r>
        <w:rPr>
          <w:rFonts w:ascii="Calibri" w:hAnsi="Calibri"/>
          <w:color w:val="000000"/>
          <w:sz w:val="22"/>
        </w:rPr>
        <w:t>Industry demand, competitors, peer growth, and market-share treatment are included.</w:t>
      </w:r>
    </w:p>
    <w:p>
      <w:pPr>
        <w:pStyle w:val="ListBullet"/>
      </w:pPr>
      <w:r>
        <w:rPr>
          <w:rFonts w:ascii="Calibri" w:hAnsi="Calibri"/>
          <w:color w:val="000000"/>
          <w:sz w:val="22"/>
        </w:rPr>
        <w:t>Four to six leading indicators and three to five principal risks are recorded.</w:t>
      </w:r>
    </w:p>
    <w:p>
      <w:pPr>
        <w:pStyle w:val="ListBullet"/>
      </w:pPr>
      <w:r>
        <w:rPr>
          <w:rFonts w:ascii="Calibri" w:hAnsi="Calibri"/>
          <w:color w:val="000000"/>
          <w:sz w:val="22"/>
        </w:rPr>
        <w:t>Concentration, seasonality, and capacity constraints are addressed, including “not material/not disclosed” with evidence when appropriate.</w:t>
      </w:r>
    </w:p>
    <w:p>
      <w:pPr>
        <w:pStyle w:val="ListBullet"/>
      </w:pPr>
      <w:r>
        <w:rPr>
          <w:rFonts w:ascii="Calibri" w:hAnsi="Calibri"/>
          <w:color w:val="000000"/>
          <w:sz w:val="22"/>
        </w:rPr>
        <w:t>One hypothesis passes every item in the hypothesis-quality checklist.</w:t>
      </w:r>
    </w:p>
    <w:p>
      <w:pPr>
        <w:pStyle w:val="ListBullet"/>
      </w:pPr>
      <w:r>
        <w:rPr>
          <w:rFonts w:ascii="Calibri" w:hAnsi="Calibri"/>
          <w:color w:val="000000"/>
          <w:sz w:val="22"/>
        </w:rPr>
        <w:t>Base, upside, and downside assumptions connect to the hypothesis without claiming a finished valuation.</w:t>
      </w:r>
    </w:p>
    <w:p>
      <w:pPr>
        <w:pStyle w:val="ListBullet"/>
      </w:pPr>
      <w:r>
        <w:rPr>
          <w:rFonts w:ascii="Calibri" w:hAnsi="Calibri"/>
          <w:color w:val="000000"/>
          <w:sz w:val="22"/>
        </w:rPr>
        <w:t>The CFO decision implication and pause/change/reject trigger are stated.</w:t>
      </w:r>
    </w:p>
    <w:p>
      <w:pPr>
        <w:pStyle w:val="ListBullet"/>
      </w:pPr>
      <w:r>
        <w:rPr>
          <w:rFonts w:ascii="Calibri" w:hAnsi="Calibri"/>
          <w:color w:val="000000"/>
          <w:sz w:val="22"/>
        </w:rPr>
        <w:t>The evidence register labels sources, dates, periods, units, definitions, locations, uses, peer groups, and limitations.</w:t>
      </w:r>
    </w:p>
    <w:p>
      <w:pPr>
        <w:pStyle w:val="ListBullet"/>
      </w:pPr>
      <w:r>
        <w:rPr>
          <w:rFonts w:ascii="Calibri" w:hAnsi="Calibri"/>
          <w:color w:val="000000"/>
          <w:sz w:val="22"/>
        </w:rPr>
        <w:t>The skeptical-CFO record shows independent verification and student accept/modify/reject judgment.</w:t>
      </w:r>
    </w:p>
    <w:p>
      <w:pPr>
        <w:pStyle w:val="ListBullet"/>
      </w:pPr>
      <w:r>
        <w:rPr>
          <w:rFonts w:ascii="Calibri" w:hAnsi="Calibri"/>
          <w:color w:val="000000"/>
          <w:sz w:val="22"/>
        </w:rPr>
        <w:t>The workbook's required checks show PASS or an honest, instructor-reviewable limitation.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E6B75"/>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E6B75"/>
        <w:sz w:val="18"/>
      </w:rPr>
      <w:t>BUS311 Corporate Finance  |  Individual Company Capstone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720"/>
        </w:tabs>
        <w:ind w:left="720" w:hanging="360"/>
      </w:pPr>
    </w:lvl>
  </w:abstractNum>
  <w:num w:numId="10">
    <w:abstractNumId w:val="9"/>
  </w:num>
  <w:abstractNum w:abstractNumId="10">
    <w:multiLevelType w:val="singleLevel"/>
    <w:lvl w:ilvl="0">
      <w:start w:val="1"/>
      <w:numFmt w:val="decimal"/>
      <w:lvlText w:val="%1."/>
      <w:suff w:val="tab"/>
      <w:pPr>
        <w:tabs>
          <w:tab w:val="num" w:pos="720"/>
        </w:tabs>
        <w:ind w:left="720" w:hanging="360"/>
      </w:pPr>
    </w:lvl>
  </w:abstractNum>
  <w:num w:numId="11">
    <w:abstractNumId w:val="10"/>
  </w:num>
  <w:abstractNum w:abstractNumId="11">
    <w:multiLevelType w:val="singleLevel"/>
    <w:lvl w:ilvl="0">
      <w:start w:val="1"/>
      <w:numFmt w:val="decimal"/>
      <w:lvlText w:val="%1."/>
      <w:suff w:val="tab"/>
      <w:pPr>
        <w:tabs>
          <w:tab w:val="num" w:pos="720"/>
        </w:tabs>
        <w:ind w:left="720" w:hanging="36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5FA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5FA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A25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capstone milestone 2 revenue engine student guide</dc:title>
  <dc:subject>BUS311 Capstone Milestone 2</dc:subject>
  <dc:creator>Professor Bethany Evitts</dc:creator>
  <cp:keywords/>
  <dc:description>Maintained source: BUS311-capstone-milestone-2-revenue-engine-student-guide.md; SHA-256: 77614f9c96b3c9f02964dcc14536db0c8477af8969b35db6edacbba1526f39ef</dc:description>
  <cp:lastModifiedBy/>
  <cp:revision>1</cp:revision>
  <dcterms:created xsi:type="dcterms:W3CDTF">2013-12-23T23:15:00Z</dcterms:created>
  <dcterms:modified xsi:type="dcterms:W3CDTF">2013-12-23T23:15:00Z</dcterms:modified>
  <cp:category/>
</cp:coreProperties>
</file>