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</w:pPr>
      <w:r>
        <w:rPr>
          <w:rFonts w:ascii="Calibri" w:hAnsi="Calibri"/>
          <w:b/>
          <w:color w:val="C66A3D"/>
          <w:sz w:val="22"/>
        </w:rPr>
        <w:t>BUS311 CAPSTONE MILESTONE 2</w:t>
      </w:r>
    </w:p>
    <w:p>
      <w:pPr>
        <w:spacing w:before="0" w:after="160" w:line="264" w:lineRule="auto"/>
      </w:pPr>
      <w:r>
        <w:rPr>
          <w:rFonts w:ascii="Calibri" w:hAnsi="Calibri"/>
          <w:b/>
          <w:color w:val="0A2540"/>
          <w:sz w:val="46"/>
        </w:rPr>
        <w:t>Revenue Engine and Initial Hypothesis Rubric</w:t>
      </w:r>
    </w:p>
    <w:p>
      <w:pPr>
        <w:spacing w:before="0" w:after="280" w:line="264" w:lineRule="auto"/>
      </w:pPr>
      <w:r>
        <w:rPr>
          <w:rFonts w:ascii="Calibri" w:hAnsi="Calibri"/>
          <w:color w:val="5E6B75"/>
          <w:sz w:val="20"/>
        </w:rPr>
        <w:t>Individual company capstone | Instructor-review draft | Student-facing | Fall 2026</w:t>
      </w:r>
    </w:p>
    <w:p>
      <w:pPr>
        <w:pBdr>
          <w:bottom w:val="single" w:sz="16" w:space="1" w:color="175FA9"/>
        </w:pBdr>
        <w:spacing w:after="200"/>
      </w:pP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Document status:</w:t>
      </w:r>
      <w:r>
        <w:rPr>
          <w:rFonts w:ascii="Calibri" w:hAnsi="Calibri"/>
          <w:color w:val="000000"/>
          <w:sz w:val="22"/>
        </w:rPr>
        <w:t xml:space="preserve"> Instructor-review draft | </w:t>
      </w:r>
      <w:r>
        <w:rPr>
          <w:rFonts w:ascii="Calibri" w:hAnsi="Calibri"/>
          <w:b/>
          <w:color w:val="000000"/>
          <w:sz w:val="22"/>
        </w:rPr>
        <w:t>Student-facing scoring standard</w:t>
      </w:r>
      <w:r>
        <w:rPr>
          <w:rFonts w:ascii="Calibri" w:hAnsi="Calibri"/>
          <w:color w:val="000000"/>
          <w:sz w:val="22"/>
        </w:rPr>
        <w:t xml:space="preserve"> | </w:t>
      </w:r>
      <w:r>
        <w:rPr>
          <w:rFonts w:ascii="Calibri" w:hAnsi="Calibri"/>
          <w:b/>
          <w:color w:val="000000"/>
          <w:sz w:val="22"/>
        </w:rPr>
        <w:t>Updated:</w:t>
      </w:r>
      <w:r>
        <w:rPr>
          <w:rFonts w:ascii="Calibri" w:hAnsi="Calibri"/>
          <w:color w:val="000000"/>
          <w:sz w:val="22"/>
        </w:rPr>
        <w:t xml:space="preserve"> July 29, 2026</w:t>
      </w:r>
    </w:p>
    <w:p>
      <w:pPr>
        <w:spacing w:before="0" w:after="120" w:line="264" w:lineRule="auto"/>
      </w:pPr>
      <w:r>
        <w:rPr>
          <w:rFonts w:ascii="Calibri" w:hAnsi="Calibri"/>
          <w:color w:val="000000"/>
          <w:sz w:val="22"/>
        </w:rPr>
        <w:t>This rubric scores the Week 5 revenue-engine milestone. It is part of the capstone's 25 milestone/model/revision points. The work is individual and addressed to the selected company's CFO and Board.</w:t>
      </w:r>
    </w:p>
    <w:p>
      <w:pPr>
        <w:pStyle w:val="Heading2"/>
      </w:pPr>
      <w:r>
        <w:rPr>
          <w:rFonts w:ascii="Calibri" w:hAnsi="Calibri"/>
          <w:color w:val="175FA9"/>
          <w:sz w:val="26"/>
        </w:rPr>
        <w:t>Performance levels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700"/>
        <w:gridCol w:w="2350"/>
        <w:gridCol w:w="1600"/>
        <w:gridCol w:w="1260"/>
      </w:tblGrid>
      <w:tr>
        <w:trPr>
          <w:tblHeader w:val="true"/>
          <w:cantSplit/>
        </w:trPr>
        <w:tc>
          <w:tcPr>
            <w:tcW w:type="dxa" w:w="145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Criterion</w:t>
            </w:r>
          </w:p>
        </w:tc>
        <w:tc>
          <w:tcPr>
            <w:tcW w:type="dxa" w:w="270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Full-credit evidence</w:t>
            </w:r>
          </w:p>
        </w:tc>
        <w:tc>
          <w:tcPr>
            <w:tcW w:type="dxa" w:w="235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Developing / partial evidence</w:t>
            </w:r>
          </w:p>
        </w:tc>
        <w:tc>
          <w:tcPr>
            <w:tcW w:type="dxa" w:w="160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Missing or unusable evidence</w:t>
            </w:r>
          </w:p>
        </w:tc>
        <w:tc>
          <w:tcPr>
            <w:tcW w:type="dxa" w:w="126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Points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Revenue-engine map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All eight required dimensions are company-specific, material, sourced, and connected to revenue mechanisms and management levers.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One or two dimensions are generic, incomplete, weakly sourced, or not connected to how sales are generated.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Major dimensions are missing; map is primarily a company description or unsupported assertion.</w:t>
            </w:r>
          </w:p>
        </w:tc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1.00</w:t>
            </w:r>
          </w:p>
        </w:tc>
      </w:tr>
      <w:tr>
        <w:trPr>
          <w:cantSplit/>
        </w:trPr>
        <w:tc>
          <w:tcPr>
            <w:tcW w:type="dxa" w:w="14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Revenue history and comparability</w:t>
            </w:r>
          </w:p>
        </w:tc>
        <w:tc>
          <w:tcPr>
            <w:tcW w:type="dxa" w:w="27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Three to five fiscal years of total and material segment/business-line revenue use clear currency, units, definitions, periods, sources, growth, and reconciliation; reporting changes are explained.</w:t>
            </w:r>
          </w:p>
        </w:tc>
        <w:tc>
          <w:tcPr>
            <w:tcW w:type="dxa" w:w="23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History is present but a period, segment, definition, growth calculation, reconciliation, or comparability explanation is incomplete.</w:t>
            </w:r>
          </w:p>
        </w:tc>
        <w:tc>
          <w:tcPr>
            <w:tcW w:type="dxa" w:w="16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Fewer than three usable years; total/segment evidence is absent or unsupported; figures cannot be traced.</w:t>
            </w:r>
          </w:p>
        </w:tc>
        <w:tc>
          <w:tcPr>
            <w:tcW w:type="dxa" w:w="126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1.25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Driver decomposition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Three to six company-relevant drivers explain what changed; quantified and directional evidence are distinguished; durable, temporary, acquisition, accounting, and macro effects are separated where relevant.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Drivers are plausible but generic, incompletely evidenced, over-reliant on narrative, or weakly connected to forecast implications.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No meaningful decomposition; invented bridge amounts; unexplained total-growth assumption substitutes for operating drivers.</w:t>
            </w:r>
          </w:p>
        </w:tc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1.25</w:t>
            </w:r>
          </w:p>
        </w:tc>
      </w:tr>
      <w:tr>
        <w:trPr>
          <w:cantSplit/>
        </w:trPr>
        <w:tc>
          <w:tcPr>
            <w:tcW w:type="dxa" w:w="14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Industry, competitors, peers, and market share</w:t>
            </w:r>
          </w:p>
        </w:tc>
        <w:tc>
          <w:tcPr>
            <w:tcW w:type="dxa" w:w="27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Demand conditions, competitors, defensible peer group, comparable peer growth, and supportable market-share context distinguish company-specific from industry effects; limitations are explicit.</w:t>
            </w:r>
          </w:p>
        </w:tc>
        <w:tc>
          <w:tcPr>
            <w:tcW w:type="dxa" w:w="23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Context is present but peers, periods, definitions, comparability, or market-share limitations are weak.</w:t>
            </w:r>
          </w:p>
        </w:tc>
        <w:tc>
          <w:tcPr>
            <w:tcW w:type="dxa" w:w="16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Context is missing, peer group is unexplained, or unsupported market-share claims are used.</w:t>
            </w:r>
          </w:p>
        </w:tc>
        <w:tc>
          <w:tcPr>
            <w:tcW w:type="dxa" w:w="126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1.00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Leading indicators and revenue risks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Four to six indicators and three to five principal risks address concentrations, seasonality, capacity constraints, and triggers; each connects to evidence and a forecast/decision use.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Some indicators or risks are generic, missing a source/trigger, or disconnected from the forecast and CFO decision.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Indicators/risks are absent, copied from generic risk language, or not usable for monitoring.</w:t>
            </w:r>
          </w:p>
        </w:tc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1.00</w:t>
            </w:r>
          </w:p>
        </w:tc>
      </w:tr>
      <w:tr>
        <w:trPr>
          <w:cantSplit/>
        </w:trPr>
        <w:tc>
          <w:tcPr>
            <w:tcW w:type="dxa" w:w="14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Testable revenue hypothesis</w:t>
            </w:r>
          </w:p>
        </w:tc>
        <w:tc>
          <w:tcPr>
            <w:tcW w:type="dxa" w:w="27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One specific claim names mechanism, directional effect, period, supporting evidence, falsification evidence, and an alternative explanation; no unsupported precision.</w:t>
            </w:r>
          </w:p>
        </w:tc>
        <w:tc>
          <w:tcPr>
            <w:tcW w:type="dxa" w:w="23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Claim is relevant but broad, weakly causal, incompletely testable, or missing a period, falsifier, or alternative explanation.</w:t>
            </w:r>
          </w:p>
        </w:tc>
        <w:tc>
          <w:tcPr>
            <w:tcW w:type="dxa" w:w="16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Claim only predicts growth/decline, cannot be disproved, relies on valuation as the revenue cause, or uses invented facts.</w:t>
            </w:r>
          </w:p>
        </w:tc>
        <w:tc>
          <w:tcPr>
            <w:tcW w:type="dxa" w:w="126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1.25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Forecast, valuation, CFO, evidence, and challenge linkage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Base/upside/downside driver paths flow to later forecast and valuation channels and the approved CFO decision; evidence register is traceable; skeptical-CFO challenge is independently checked and judged by the student.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Linkage or challenge record is present but assumptions, decision triggers, source labels, verification, or student judgment are incomplete.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Scenarios are disconnected from the hypothesis; evidence register is unusable; AI output is treated as a source; or challenge/judgment is missing.</w:t>
            </w:r>
          </w:p>
        </w:tc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1.25</w:t>
            </w:r>
          </w:p>
        </w:tc>
      </w:tr>
      <w:tr>
        <w:trPr>
          <w:cantSplit/>
        </w:trPr>
        <w:tc>
          <w:tcPr>
            <w:tcW w:type="dxa" w:w="14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Total</w:t>
            </w:r>
          </w:p>
        </w:tc>
        <w:tc>
          <w:tcPr>
            <w:tcW w:type="dxa" w:w="27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</w:p>
        </w:tc>
        <w:tc>
          <w:tcPr>
            <w:tcW w:type="dxa" w:w="23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</w:p>
        </w:tc>
        <w:tc>
          <w:tcPr>
            <w:tcW w:type="dxa" w:w="16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</w:p>
        </w:tc>
        <w:tc>
          <w:tcPr>
            <w:tcW w:type="dxa" w:w="126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8.00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</w:pPr>
      <w:r>
        <w:rPr>
          <w:rFonts w:ascii="Calibri" w:hAnsi="Calibri"/>
          <w:color w:val="175FA9"/>
          <w:sz w:val="26"/>
        </w:rPr>
        <w:t>Scoring rules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Award points for demonstrated evidence, not for document length or confident wording.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Score the work submitted. Approval or required revision is a separate instructional decision.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Within each criterion, use proportional partial credit when evidence falls between the anchors.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 fabricated figure, invented citation, or unsupported bridge amount earns no credit for the affected evidence and may require academic-integrity follow-up under course policy.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 stated and well-managed data limitation can earn credit. Concealing the limitation cannot.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FactSet evidence is permitted in course work but must be labeled with source, report/screen/metric, date, period, units, definition, peer group, use, and limitation as applicable.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AI output is not evidence. The student must independently verify retained challenges and make the final judgment.</w:t>
      </w:r>
    </w:p>
    <w:p>
      <w:pPr>
        <w:pStyle w:val="Heading2"/>
      </w:pPr>
      <w:r>
        <w:rPr>
          <w:rFonts w:ascii="Calibri" w:hAnsi="Calibri"/>
          <w:color w:val="175FA9"/>
          <w:sz w:val="26"/>
        </w:rPr>
        <w:t>Score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480"/>
        <w:gridCol w:w="3680"/>
      </w:tblGrid>
      <w:tr>
        <w:trPr>
          <w:tblHeader w:val="true"/>
          <w:cantSplit/>
        </w:trPr>
        <w:tc>
          <w:tcPr>
            <w:tcW w:type="dxa" w:w="220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9"/>
              </w:rPr>
              <w:t>Criterion</w:t>
            </w:r>
          </w:p>
        </w:tc>
        <w:tc>
          <w:tcPr>
            <w:tcW w:type="dxa" w:w="348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9"/>
              </w:rPr>
              <w:t>Score</w:t>
            </w:r>
          </w:p>
        </w:tc>
        <w:tc>
          <w:tcPr>
            <w:tcW w:type="dxa" w:w="368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9"/>
              </w:rPr>
              <w:t>Instructor note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Revenue-engine map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 / 1.00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Revenue history and comparability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 / 1.25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Driver decomposition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 / 1.25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Industry, competitors, peers, and market share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 / 1.00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Leading indicators and revenue risks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 / 1.00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Testable revenue hypothesis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 / 1.25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Forecast, valuation, CFO, evidence, and challenge linkage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 / 1.25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Milestone score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[ ] / 8.00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</w:p>
        </w:tc>
      </w:tr>
    </w:tbl>
    <w:p>
      <w:pPr>
        <w:spacing w:before="0" w:after="40" w:line="26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E6B75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E6B75"/>
        <w:sz w:val="18"/>
      </w:rPr>
      <w:t>BUS311 Corporate Finance  |  Individual Company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75FA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75F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25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 capstone milestone 2 rubric</dc:title>
  <dc:subject>BUS311 Capstone Milestone 2</dc:subject>
  <dc:creator>Professor Bethany Evitts</dc:creator>
  <cp:keywords/>
  <dc:description>Maintained source: BUS311-capstone-milestone-2-rubric.md; SHA-256: ca596e03f2683965282214024a95e5ee1b440a36c694bd05f457cf4dbf5cff3c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