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14:paraId="28CED2FA"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E2761"/>
            <w:tcMar>
              <w:top w:w="280" w:type="dxa"/>
              <w:left w:w="360" w:type="dxa"/>
              <w:bottom w:w="200" w:type="dxa"/>
              <w:right w:w="360" w:type="dxa"/>
            </w:tcMar>
          </w:tcPr>
          <w:p w14:paraId="28CED2F7" w14:textId="77777777">
            <w:pPr>
              <w:spacing w:after="60"/>
              <w:jc w:val="center"/>
            </w:pPr>
            <w:r>
              <w:rPr>
                <w:b/>
                <w:bCs/>
                <w:color w:val="C9A84C"/>
                <w:spacing w:val="60"/>
                <w:sz w:val="20"/>
                <w:szCs w:val="20"/>
              </w:rPr>
              <w:t>APEX TECHNOLOGY CORPORATION</w:t>
            </w:r>
          </w:p>
          <w:p w14:paraId="28CED2F8" w14:textId="77777777">
            <w:pPr>
              <w:spacing w:after="60"/>
              <w:jc w:val="center"/>
            </w:pPr>
            <w:r>
              <w:rPr>
                <w:rFonts w:ascii="Georgia" w:eastAsia="Georgia" w:hAnsi="Georgia" w:cs="Georgia"/>
                <w:b/>
                <w:bCs/>
                <w:color w:val="FFFFFF"/>
                <w:sz w:val="40"/>
                <w:szCs w:val="40"/>
              </w:rPr>
              <w:t>IPO Valuation &amp; Financial Ratio Analysis</w:t>
            </w:r>
          </w:p>
          <w:p w14:paraId="28CED2F9" w14:textId="77777777">
            <w:pPr>
              <w:spacing w:before="60" w:after="80"/>
              <w:jc w:val="center"/>
            </w:pPr>
            <w:r>
              <w:rPr>
                <w:color w:val="CADCFC"/>
              </w:rPr>
              <w:t xml:space="preserve">Student Assignment Guide — BUS 311 Corporate </w:t>
            </w:r>
            <w:proofErr w:type="gramStart"/>
            <w:r>
              <w:rPr>
                <w:color w:val="CADCFC"/>
              </w:rPr>
              <w:t>Finance  |</w:t>
            </w:r>
            <w:proofErr w:type="gramEnd"/>
            <w:r>
              <w:rPr>
                <w:color w:val="CADCFC"/>
              </w:rPr>
              <w:t xml:space="preserve">  Chapter 7</w:t>
            </w:r>
          </w:p>
        </w:tc>
      </w:tr>
    </w:tbl>
    <w:p w14:paraId="28CED2FB" w14:textId="7777777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0"/>
      </w:tblGrid>
      <w:tr w14:paraId="28CED309" w14:textId="77777777">
        <w:tblPrEx>
          <w:tblCellMar>
            <w:top w:w="0" w:type="dxa"/>
            <w:bottom w:w="0" w:type="dxa"/>
          </w:tblCellMar>
        </w:tblPrEx>
        <w:tc>
          <w:tcPr>
            <w:tcW w:w="9360" w:type="dxa"/>
            <w:tcBorders>
              <w:top w:val="single" w:sz="4" w:space="0" w:color="CADCFC"/>
              <w:left w:val="single" w:sz="4" w:space="0" w:color="CADCFC"/>
              <w:bottom w:val="single" w:sz="4" w:space="0" w:color="CADCFC"/>
              <w:right w:val="single" w:sz="4" w:space="0" w:color="CADCFC"/>
            </w:tcBorders>
            <w:shd w:val="clear" w:color="auto" w:fill="F4F6FB"/>
            <w:tcMar>
              <w:top w:w="160" w:type="dxa"/>
              <w:left w:w="200" w:type="dxa"/>
              <w:bottom w:w="160" w:type="dxa"/>
              <w:right w:w="200" w:type="dxa"/>
            </w:tcMar>
          </w:tcPr>
          <w:p w14:paraId="28CED2FC" w14:textId="77777777">
            <w:pPr>
              <w:spacing w:after="80"/>
            </w:pPr>
            <w:r>
              <w:rPr>
                <w:rFonts w:ascii="Georgia" w:eastAsia="Georgia" w:hAnsi="Georgia" w:cs="Georgia"/>
                <w:b/>
                <w:bCs/>
                <w:color w:val="1E2761"/>
                <w:sz w:val="26"/>
                <w:szCs w:val="26"/>
              </w:rPr>
              <w:t>Assignment Overview</w:t>
            </w:r>
          </w:p>
          <w:p w14:paraId="28CED2FD" w14:textId="77777777">
            <w:pPr>
              <w:spacing w:before="60" w:after="60"/>
            </w:pPr>
            <w:r>
              <w:rPr>
                <w:color w:val="1E293B"/>
              </w:rPr>
              <w:t>In this assignment, you will step into the role of a junior financial analyst advising Apex Technology Corporation as it prepares for a $400 million initial public offering (IPO). You will build equity valuation models, calculate key financial ratios, and analyze how three different strategies for deploying IPO proceeds affect the company's financial profile.</w:t>
            </w:r>
          </w:p>
          <w:p w14:paraId="28CED2FE" w14:textId="77777777">
            <w:pPr>
              <w:spacing w:before="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400"/>
            </w:tblGrid>
            <w:tr w14:paraId="28CED307" w14:textId="77777777">
              <w:tblPrEx>
                <w:tblCellMar>
                  <w:top w:w="0" w:type="dxa"/>
                  <w:bottom w:w="0" w:type="dxa"/>
                </w:tblCellMar>
              </w:tblPrEx>
              <w:tc>
                <w:tcPr>
                  <w:tcW w:w="2200" w:type="dxa"/>
                  <w:tcBorders>
                    <w:top w:val="single" w:sz="4" w:space="0" w:color="C9A84C"/>
                    <w:left w:val="single" w:sz="4" w:space="0" w:color="C9A84C"/>
                    <w:bottom w:val="single" w:sz="4" w:space="0" w:color="C9A84C"/>
                    <w:right w:val="single" w:sz="4" w:space="0" w:color="C9A84C"/>
                  </w:tcBorders>
                  <w:shd w:val="clear" w:color="auto" w:fill="1E2761"/>
                  <w:tcMar>
                    <w:top w:w="100" w:type="dxa"/>
                    <w:left w:w="120" w:type="dxa"/>
                    <w:bottom w:w="100" w:type="dxa"/>
                    <w:right w:w="120" w:type="dxa"/>
                  </w:tcMar>
                  <w:vAlign w:val="center"/>
                </w:tcPr>
                <w:p w14:paraId="28CED2FF" w14:textId="77777777">
                  <w:pPr>
                    <w:spacing w:after="40"/>
                    <w:jc w:val="center"/>
                  </w:pPr>
                  <w:r>
                    <w:rPr>
                      <w:b/>
                      <w:bCs/>
                      <w:color w:val="C9A84C"/>
                      <w:sz w:val="24"/>
                      <w:szCs w:val="24"/>
                    </w:rPr>
                    <w:t>⏱</w:t>
                  </w:r>
                  <w:r>
                    <w:rPr>
                      <w:b/>
                      <w:bCs/>
                      <w:color w:val="C9A84C"/>
                      <w:sz w:val="24"/>
                      <w:szCs w:val="24"/>
                    </w:rPr>
                    <w:t xml:space="preserve"> 30–35 min</w:t>
                  </w:r>
                </w:p>
                <w:p w14:paraId="28CED300" w14:textId="77777777">
                  <w:pPr>
                    <w:jc w:val="center"/>
                  </w:pPr>
                  <w:r>
                    <w:rPr>
                      <w:color w:val="CADCFC"/>
                      <w:sz w:val="18"/>
                      <w:szCs w:val="18"/>
                    </w:rPr>
                    <w:t>In-class activity</w:t>
                  </w:r>
                </w:p>
              </w:tc>
              <w:tc>
                <w:tcPr>
                  <w:tcW w:w="2200" w:type="dxa"/>
                  <w:tcBorders>
                    <w:top w:val="single" w:sz="4" w:space="0" w:color="C9A84C"/>
                    <w:left w:val="single" w:sz="4" w:space="0" w:color="C9A84C"/>
                    <w:bottom w:val="single" w:sz="4" w:space="0" w:color="C9A84C"/>
                    <w:right w:val="single" w:sz="4" w:space="0" w:color="C9A84C"/>
                  </w:tcBorders>
                  <w:shd w:val="clear" w:color="auto" w:fill="1E2761"/>
                  <w:tcMar>
                    <w:top w:w="100" w:type="dxa"/>
                    <w:left w:w="120" w:type="dxa"/>
                    <w:bottom w:w="100" w:type="dxa"/>
                    <w:right w:w="120" w:type="dxa"/>
                  </w:tcMar>
                  <w:vAlign w:val="center"/>
                </w:tcPr>
                <w:p w14:paraId="28CED301" w14:textId="77777777">
                  <w:pPr>
                    <w:spacing w:after="40"/>
                    <w:jc w:val="center"/>
                  </w:pPr>
                  <w:r>
                    <w:rPr>
                      <w:b/>
                      <w:bCs/>
                      <w:color w:val="C9A84C"/>
                      <w:sz w:val="24"/>
                      <w:szCs w:val="24"/>
                    </w:rPr>
                    <w:t>👥</w:t>
                  </w:r>
                  <w:r>
                    <w:rPr>
                      <w:b/>
                      <w:bCs/>
                      <w:color w:val="C9A84C"/>
                      <w:sz w:val="24"/>
                      <w:szCs w:val="24"/>
                    </w:rPr>
                    <w:t xml:space="preserve"> Pairs OK</w:t>
                  </w:r>
                </w:p>
                <w:p w14:paraId="28CED302" w14:textId="77777777">
                  <w:pPr>
                    <w:jc w:val="center"/>
                  </w:pPr>
                  <w:r>
                    <w:rPr>
                      <w:color w:val="CADCFC"/>
                      <w:sz w:val="18"/>
                      <w:szCs w:val="18"/>
                    </w:rPr>
                    <w:t>Work with a partner</w:t>
                  </w:r>
                </w:p>
              </w:tc>
              <w:tc>
                <w:tcPr>
                  <w:tcW w:w="2200" w:type="dxa"/>
                  <w:tcBorders>
                    <w:top w:val="single" w:sz="4" w:space="0" w:color="C9A84C"/>
                    <w:left w:val="single" w:sz="4" w:space="0" w:color="C9A84C"/>
                    <w:bottom w:val="single" w:sz="4" w:space="0" w:color="C9A84C"/>
                    <w:right w:val="single" w:sz="4" w:space="0" w:color="C9A84C"/>
                  </w:tcBorders>
                  <w:shd w:val="clear" w:color="auto" w:fill="1E2761"/>
                  <w:tcMar>
                    <w:top w:w="100" w:type="dxa"/>
                    <w:left w:w="120" w:type="dxa"/>
                    <w:bottom w:w="100" w:type="dxa"/>
                    <w:right w:w="120" w:type="dxa"/>
                  </w:tcMar>
                  <w:vAlign w:val="center"/>
                </w:tcPr>
                <w:p w14:paraId="28CED303" w14:textId="77777777">
                  <w:pPr>
                    <w:spacing w:after="40"/>
                    <w:jc w:val="center"/>
                  </w:pPr>
                  <w:r>
                    <w:rPr>
                      <w:b/>
                      <w:bCs/>
                      <w:color w:val="C9A84C"/>
                      <w:sz w:val="24"/>
                      <w:szCs w:val="24"/>
                    </w:rPr>
                    <w:t>📊</w:t>
                  </w:r>
                  <w:r>
                    <w:rPr>
                      <w:b/>
                      <w:bCs/>
                      <w:color w:val="C9A84C"/>
                      <w:sz w:val="24"/>
                      <w:szCs w:val="24"/>
                    </w:rPr>
                    <w:t xml:space="preserve"> Excel</w:t>
                  </w:r>
                </w:p>
                <w:p w14:paraId="28CED304" w14:textId="77777777">
                  <w:pPr>
                    <w:jc w:val="center"/>
                  </w:pPr>
                  <w:r>
                    <w:rPr>
                      <w:color w:val="CADCFC"/>
                      <w:sz w:val="18"/>
                      <w:szCs w:val="18"/>
                    </w:rPr>
                    <w:t>Required throughout</w:t>
                  </w:r>
                </w:p>
              </w:tc>
              <w:tc>
                <w:tcPr>
                  <w:tcW w:w="2400" w:type="dxa"/>
                  <w:tcBorders>
                    <w:top w:val="single" w:sz="4" w:space="0" w:color="C9A84C"/>
                    <w:left w:val="single" w:sz="4" w:space="0" w:color="C9A84C"/>
                    <w:bottom w:val="single" w:sz="4" w:space="0" w:color="C9A84C"/>
                    <w:right w:val="single" w:sz="4" w:space="0" w:color="C9A84C"/>
                  </w:tcBorders>
                  <w:shd w:val="clear" w:color="auto" w:fill="1E2761"/>
                  <w:tcMar>
                    <w:top w:w="100" w:type="dxa"/>
                    <w:left w:w="120" w:type="dxa"/>
                    <w:bottom w:w="100" w:type="dxa"/>
                    <w:right w:w="120" w:type="dxa"/>
                  </w:tcMar>
                  <w:vAlign w:val="center"/>
                </w:tcPr>
                <w:p w14:paraId="28CED305" w14:textId="77777777">
                  <w:pPr>
                    <w:spacing w:after="40"/>
                    <w:jc w:val="center"/>
                  </w:pPr>
                  <w:r>
                    <w:rPr>
                      <w:b/>
                      <w:bCs/>
                      <w:color w:val="C9A84C"/>
                      <w:sz w:val="24"/>
                      <w:szCs w:val="24"/>
                    </w:rPr>
                    <w:t>📤</w:t>
                  </w:r>
                  <w:r>
                    <w:rPr>
                      <w:b/>
                      <w:bCs/>
                      <w:color w:val="C9A84C"/>
                      <w:sz w:val="24"/>
                      <w:szCs w:val="24"/>
                    </w:rPr>
                    <w:t xml:space="preserve"> Submit</w:t>
                  </w:r>
                </w:p>
                <w:p w14:paraId="28CED306" w14:textId="5CDBE071">
                  <w:pPr>
                    <w:jc w:val="center"/>
                  </w:pPr>
                  <w:r>
                    <w:rPr>
                      <w:color w:val="CADCFC"/>
                      <w:sz w:val="18"/>
                      <w:szCs w:val="18"/>
                    </w:rPr>
                    <w:t>Canvas</w:t>
                  </w:r>
                </w:p>
              </w:tc>
            </w:tr>
          </w:tbl>
          <w:p w14:paraId="28CED308" w14:textId="77777777"/>
        </w:tc>
      </w:tr>
    </w:tbl>
    <w:p w14:paraId="28CED30A" w14:textId="77777777">
      <w:pPr>
        <w:spacing w:before="160"/>
      </w:pPr>
    </w:p>
    <w:p w14:paraId="28CED30B" w14:textId="77777777">
      <w:pPr>
        <w:pBdr>
          <w:bottom w:val="single" w:sz="6" w:space="4" w:color="C9A84C"/>
        </w:pBdr>
        <w:spacing w:before="300" w:after="120"/>
      </w:pPr>
      <w:r>
        <w:rPr>
          <w:rFonts w:ascii="Georgia" w:eastAsia="Georgia" w:hAnsi="Georgia" w:cs="Georgia"/>
          <w:b/>
          <w:bCs/>
          <w:color w:val="1E2761"/>
          <w:sz w:val="28"/>
          <w:szCs w:val="28"/>
        </w:rPr>
        <w:t>Section 1 — Learning Objectives</w:t>
      </w:r>
    </w:p>
    <w:p w14:paraId="28CED30C" w14:textId="77777777">
      <w:pPr>
        <w:spacing w:before="60"/>
      </w:pPr>
    </w:p>
    <w:p w14:paraId="28CED30D" w14:textId="77777777">
      <w:pPr>
        <w:spacing w:before="60" w:after="60"/>
      </w:pPr>
      <w:r>
        <w:rPr>
          <w:color w:val="1E293B"/>
        </w:rPr>
        <w:t>By completing this assignment, you will be able to:</w:t>
      </w:r>
    </w:p>
    <w:p w14:paraId="28CED30E" w14:textId="77777777">
      <w:pPr>
        <w:spacing w:before="40"/>
      </w:pPr>
    </w:p>
    <w:p w14:paraId="28CED30F" w14:textId="77777777">
      <w:pPr>
        <w:pStyle w:val="ListParagraph"/>
        <w:numPr>
          <w:ilvl w:val="0"/>
          <w:numId w:val="2"/>
        </w:numPr>
        <w:spacing w:before="40" w:after="40"/>
      </w:pPr>
      <w:r>
        <w:rPr>
          <w:color w:val="1E293B"/>
        </w:rPr>
        <w:t>Value a stock using the Dividend Discount Model (Gordon Growth Model) and interpret the result</w:t>
      </w:r>
    </w:p>
    <w:p w14:paraId="28CED310" w14:textId="77777777">
      <w:pPr>
        <w:pStyle w:val="ListParagraph"/>
        <w:numPr>
          <w:ilvl w:val="0"/>
          <w:numId w:val="2"/>
        </w:numPr>
        <w:spacing w:before="40" w:after="40"/>
      </w:pPr>
      <w:r>
        <w:rPr>
          <w:color w:val="1E293B"/>
        </w:rPr>
        <w:t>Apply the Free Cash Flow (FCF) model to estimate enterprise value and share price</w:t>
      </w:r>
    </w:p>
    <w:p w14:paraId="28CED311" w14:textId="77777777">
      <w:pPr>
        <w:pStyle w:val="ListParagraph"/>
        <w:numPr>
          <w:ilvl w:val="0"/>
          <w:numId w:val="2"/>
        </w:numPr>
        <w:spacing w:before="40" w:after="40"/>
      </w:pPr>
      <w:r>
        <w:rPr>
          <w:color w:val="1E293B"/>
        </w:rPr>
        <w:t>Compute six key financial ratios from a company's income statement and balance sheet</w:t>
      </w:r>
    </w:p>
    <w:p w14:paraId="28CED312" w14:textId="77777777">
      <w:pPr>
        <w:pStyle w:val="ListParagraph"/>
        <w:numPr>
          <w:ilvl w:val="0"/>
          <w:numId w:val="2"/>
        </w:numPr>
        <w:spacing w:before="40" w:after="40"/>
      </w:pPr>
      <w:r>
        <w:rPr>
          <w:color w:val="1E293B"/>
        </w:rPr>
        <w:t>Analyze how an IPO changes a company's leverage, liquidity, and profitability ratios</w:t>
      </w:r>
    </w:p>
    <w:p w14:paraId="28CED313" w14:textId="52D3C054">
      <w:pPr>
        <w:pStyle w:val="ListParagraph"/>
        <w:numPr>
          <w:ilvl w:val="0"/>
          <w:numId w:val="2"/>
        </w:numPr>
        <w:spacing w:before="40" w:after="40"/>
      </w:pPr>
      <w:r>
        <w:rPr>
          <w:color w:val="1E293B"/>
        </w:rPr>
        <w:t xml:space="preserve">Evaluate </w:t>
      </w:r>
      <w:r>
        <w:rPr>
          <w:color w:val="1E293B"/>
        </w:rPr>
        <w:t>two additional</w:t>
      </w:r>
      <w:r>
        <w:rPr>
          <w:color w:val="1E293B"/>
        </w:rPr>
        <w:t xml:space="preserve"> </w:t>
      </w:r>
      <w:r>
        <w:rPr>
          <w:color w:val="1E293B"/>
        </w:rPr>
        <w:t>strategy</w:t>
      </w:r>
      <w:r>
        <w:rPr>
          <w:color w:val="1E293B"/>
        </w:rPr>
        <w:t xml:space="preserve"> types</w:t>
      </w:r>
      <w:r>
        <w:rPr>
          <w:color w:val="1E293B"/>
        </w:rPr>
        <w:t xml:space="preserve"> for deploying IPO proceeds and defend a recommendation</w:t>
      </w:r>
    </w:p>
    <w:p w14:paraId="28CED314" w14:textId="77777777">
      <w:pPr>
        <w:spacing w:before="160"/>
      </w:pPr>
    </w:p>
    <w:p w14:paraId="28CED315" w14:textId="77777777">
      <w:pPr>
        <w:pBdr>
          <w:bottom w:val="single" w:sz="6" w:space="4" w:color="C9A84C"/>
        </w:pBdr>
        <w:spacing w:before="300" w:after="120"/>
      </w:pPr>
      <w:r>
        <w:rPr>
          <w:rFonts w:ascii="Georgia" w:eastAsia="Georgia" w:hAnsi="Georgia" w:cs="Georgia"/>
          <w:b/>
          <w:bCs/>
          <w:color w:val="1E2761"/>
          <w:sz w:val="28"/>
          <w:szCs w:val="28"/>
        </w:rPr>
        <w:t>Section 2 — The Company &amp; IPO Scenario</w:t>
      </w:r>
    </w:p>
    <w:p w14:paraId="28CED316" w14:textId="7777777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43"/>
        <w:gridCol w:w="3817"/>
      </w:tblGrid>
      <w:tr w14:paraId="28CED318" w14:textId="77777777">
        <w:tblPrEx>
          <w:tblCellMar>
            <w:top w:w="0" w:type="dxa"/>
            <w:bottom w:w="0" w:type="dxa"/>
          </w:tblCellMar>
        </w:tblPrEx>
        <w:trPr>
          <w:gridAfter w:val="1"/>
          <w:wAfter w:w="360" w:type="dxa"/>
        </w:trPr>
        <w:tc>
          <w:tcPr>
            <w:tcW w:w="9360" w:type="dxa"/>
            <w:tcBorders>
              <w:top w:val="single" w:sz="4" w:space="0" w:color="C9A84C"/>
              <w:left w:val="single" w:sz="4" w:space="0" w:color="C9A84C"/>
              <w:bottom w:val="single" w:sz="4" w:space="0" w:color="C9A84C"/>
              <w:right w:val="single" w:sz="4" w:space="0" w:color="C9A84C"/>
            </w:tcBorders>
            <w:shd w:val="clear" w:color="auto" w:fill="1E2761"/>
            <w:tcMar>
              <w:top w:w="120" w:type="dxa"/>
              <w:left w:w="200" w:type="dxa"/>
              <w:bottom w:w="80" w:type="dxa"/>
              <w:right w:w="200" w:type="dxa"/>
            </w:tcMar>
          </w:tcPr>
          <w:p w14:paraId="28CED317" w14:textId="77777777">
            <w:r>
              <w:rPr>
                <w:rFonts w:ascii="Georgia" w:eastAsia="Georgia" w:hAnsi="Georgia" w:cs="Georgia"/>
                <w:b/>
                <w:bCs/>
                <w:color w:val="C9A84C"/>
                <w:sz w:val="24"/>
                <w:szCs w:val="24"/>
              </w:rPr>
              <w:t>Company Snapshot: Apex Technology Corporation</w:t>
            </w:r>
          </w:p>
        </w:tc>
      </w:tr>
      <w:tr w14:paraId="28CED31B" w14:textId="77777777">
        <w:tblPrEx>
          <w:tblCellMar>
            <w:top w:w="0" w:type="dxa"/>
            <w:bottom w:w="0" w:type="dxa"/>
          </w:tblCellMar>
        </w:tblPrEx>
        <w:tc>
          <w:tcPr>
            <w:tcW w:w="27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319" w14:textId="77777777">
            <w:r>
              <w:rPr>
                <w:b/>
                <w:bCs/>
                <w:color w:val="1E2761"/>
                <w:sz w:val="21"/>
                <w:szCs w:val="21"/>
              </w:rPr>
              <w:t>Industry</w:t>
            </w:r>
          </w:p>
        </w:tc>
        <w:tc>
          <w:tcPr>
            <w:tcW w:w="66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1A" w14:textId="77777777">
            <w:r>
              <w:rPr>
                <w:color w:val="1E293B"/>
                <w:sz w:val="21"/>
                <w:szCs w:val="21"/>
              </w:rPr>
              <w:t>Enterprise software &amp; SaaS platforms</w:t>
            </w:r>
          </w:p>
        </w:tc>
      </w:tr>
      <w:tr w14:paraId="28CED31E" w14:textId="77777777">
        <w:tblPrEx>
          <w:tblCellMar>
            <w:top w:w="0" w:type="dxa"/>
            <w:bottom w:w="0" w:type="dxa"/>
          </w:tblCellMar>
        </w:tblPrEx>
        <w:tc>
          <w:tcPr>
            <w:tcW w:w="27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1C" w14:textId="77777777">
            <w:r>
              <w:rPr>
                <w:b/>
                <w:bCs/>
                <w:color w:val="1E2761"/>
                <w:sz w:val="21"/>
                <w:szCs w:val="21"/>
              </w:rPr>
              <w:t>Pre-IPO Status</w:t>
            </w:r>
          </w:p>
        </w:tc>
        <w:tc>
          <w:tcPr>
            <w:tcW w:w="6660" w:type="dxa"/>
            <w:tcBorders>
              <w:top w:val="single" w:sz="4" w:space="0" w:color="CADCFC"/>
              <w:left w:val="single" w:sz="4" w:space="0" w:color="CADCFC"/>
              <w:bottom w:val="single" w:sz="4" w:space="0" w:color="CADCFC"/>
              <w:right w:val="single" w:sz="4" w:space="0" w:color="CADCFC"/>
            </w:tcBorders>
            <w:shd w:val="clear" w:color="auto" w:fill="F8FAFF"/>
            <w:tcMar>
              <w:top w:w="80" w:type="dxa"/>
              <w:left w:w="120" w:type="dxa"/>
              <w:bottom w:w="80" w:type="dxa"/>
              <w:right w:w="120" w:type="dxa"/>
            </w:tcMar>
            <w:vAlign w:val="center"/>
          </w:tcPr>
          <w:p w14:paraId="28CED31D" w14:textId="77777777">
            <w:r>
              <w:rPr>
                <w:color w:val="1E293B"/>
                <w:sz w:val="21"/>
                <w:szCs w:val="21"/>
              </w:rPr>
              <w:t>Privately held; backed by venture capital and private equity</w:t>
            </w:r>
          </w:p>
        </w:tc>
      </w:tr>
      <w:tr w14:paraId="28CED321" w14:textId="77777777">
        <w:tblPrEx>
          <w:tblCellMar>
            <w:top w:w="0" w:type="dxa"/>
            <w:bottom w:w="0" w:type="dxa"/>
          </w:tblCellMar>
        </w:tblPrEx>
        <w:tc>
          <w:tcPr>
            <w:tcW w:w="27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31F" w14:textId="77777777">
            <w:r>
              <w:rPr>
                <w:b/>
                <w:bCs/>
                <w:color w:val="1E2761"/>
                <w:sz w:val="21"/>
                <w:szCs w:val="21"/>
              </w:rPr>
              <w:t>Annual Revenue</w:t>
            </w:r>
          </w:p>
        </w:tc>
        <w:tc>
          <w:tcPr>
            <w:tcW w:w="66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20" w14:textId="77777777">
            <w:r>
              <w:rPr>
                <w:color w:val="1E293B"/>
                <w:sz w:val="21"/>
                <w:szCs w:val="21"/>
              </w:rPr>
              <w:t>$850 million (fiscal year ended December 31)</w:t>
            </w:r>
          </w:p>
        </w:tc>
      </w:tr>
      <w:tr w14:paraId="28CED324" w14:textId="77777777">
        <w:tblPrEx>
          <w:tblCellMar>
            <w:top w:w="0" w:type="dxa"/>
            <w:bottom w:w="0" w:type="dxa"/>
          </w:tblCellMar>
        </w:tblPrEx>
        <w:tc>
          <w:tcPr>
            <w:tcW w:w="27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22" w14:textId="77777777">
            <w:r>
              <w:rPr>
                <w:b/>
                <w:bCs/>
                <w:color w:val="1E2761"/>
                <w:sz w:val="21"/>
                <w:szCs w:val="21"/>
              </w:rPr>
              <w:t>Net Income</w:t>
            </w:r>
          </w:p>
        </w:tc>
        <w:tc>
          <w:tcPr>
            <w:tcW w:w="6660" w:type="dxa"/>
            <w:tcBorders>
              <w:top w:val="single" w:sz="4" w:space="0" w:color="CADCFC"/>
              <w:left w:val="single" w:sz="4" w:space="0" w:color="CADCFC"/>
              <w:bottom w:val="single" w:sz="4" w:space="0" w:color="CADCFC"/>
              <w:right w:val="single" w:sz="4" w:space="0" w:color="CADCFC"/>
            </w:tcBorders>
            <w:shd w:val="clear" w:color="auto" w:fill="F8FAFF"/>
            <w:tcMar>
              <w:top w:w="80" w:type="dxa"/>
              <w:left w:w="120" w:type="dxa"/>
              <w:bottom w:w="80" w:type="dxa"/>
              <w:right w:w="120" w:type="dxa"/>
            </w:tcMar>
            <w:vAlign w:val="center"/>
          </w:tcPr>
          <w:p w14:paraId="28CED323" w14:textId="77777777">
            <w:r>
              <w:rPr>
                <w:color w:val="1E293B"/>
                <w:sz w:val="21"/>
                <w:szCs w:val="21"/>
              </w:rPr>
              <w:t>$164.25 million</w:t>
            </w:r>
          </w:p>
        </w:tc>
      </w:tr>
      <w:tr w14:paraId="28CED327" w14:textId="77777777">
        <w:tblPrEx>
          <w:tblCellMar>
            <w:top w:w="0" w:type="dxa"/>
            <w:bottom w:w="0" w:type="dxa"/>
          </w:tblCellMar>
        </w:tblPrEx>
        <w:tc>
          <w:tcPr>
            <w:tcW w:w="27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325" w14:textId="77777777">
            <w:r>
              <w:rPr>
                <w:b/>
                <w:bCs/>
                <w:color w:val="1E2761"/>
                <w:sz w:val="21"/>
                <w:szCs w:val="21"/>
              </w:rPr>
              <w:lastRenderedPageBreak/>
              <w:t>Pre-IPO Total Debt</w:t>
            </w:r>
          </w:p>
        </w:tc>
        <w:tc>
          <w:tcPr>
            <w:tcW w:w="66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26" w14:textId="77777777">
            <w:r>
              <w:rPr>
                <w:color w:val="1E293B"/>
                <w:sz w:val="21"/>
                <w:szCs w:val="21"/>
              </w:rPr>
              <w:t>$300 million (short-term: $60M + long-term: $240M)</w:t>
            </w:r>
          </w:p>
        </w:tc>
      </w:tr>
      <w:tr w14:paraId="28CED32A" w14:textId="77777777">
        <w:tblPrEx>
          <w:tblCellMar>
            <w:top w:w="0" w:type="dxa"/>
            <w:bottom w:w="0" w:type="dxa"/>
          </w:tblCellMar>
        </w:tblPrEx>
        <w:tc>
          <w:tcPr>
            <w:tcW w:w="27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28" w14:textId="77777777">
            <w:r>
              <w:rPr>
                <w:b/>
                <w:bCs/>
                <w:color w:val="1E2761"/>
                <w:sz w:val="21"/>
                <w:szCs w:val="21"/>
              </w:rPr>
              <w:t>Shareholders' Equity (Pre-IPO)</w:t>
            </w:r>
          </w:p>
        </w:tc>
        <w:tc>
          <w:tcPr>
            <w:tcW w:w="6660" w:type="dxa"/>
            <w:tcBorders>
              <w:top w:val="single" w:sz="4" w:space="0" w:color="CADCFC"/>
              <w:left w:val="single" w:sz="4" w:space="0" w:color="CADCFC"/>
              <w:bottom w:val="single" w:sz="4" w:space="0" w:color="CADCFC"/>
              <w:right w:val="single" w:sz="4" w:space="0" w:color="CADCFC"/>
            </w:tcBorders>
            <w:shd w:val="clear" w:color="auto" w:fill="F8FAFF"/>
            <w:tcMar>
              <w:top w:w="80" w:type="dxa"/>
              <w:left w:w="120" w:type="dxa"/>
              <w:bottom w:w="80" w:type="dxa"/>
              <w:right w:w="120" w:type="dxa"/>
            </w:tcMar>
            <w:vAlign w:val="center"/>
          </w:tcPr>
          <w:p w14:paraId="28CED329" w14:textId="77777777">
            <w:r>
              <w:rPr>
                <w:color w:val="1E293B"/>
                <w:sz w:val="21"/>
                <w:szCs w:val="21"/>
              </w:rPr>
              <w:t>$245 million (book value; Total Assets $630M – Total Liabilities $385M)</w:t>
            </w:r>
          </w:p>
        </w:tc>
      </w:tr>
      <w:tr w14:paraId="28CED32D" w14:textId="77777777">
        <w:tblPrEx>
          <w:tblCellMar>
            <w:top w:w="0" w:type="dxa"/>
            <w:bottom w:w="0" w:type="dxa"/>
          </w:tblCellMar>
        </w:tblPrEx>
        <w:tc>
          <w:tcPr>
            <w:tcW w:w="27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32B" w14:textId="77777777">
            <w:r>
              <w:rPr>
                <w:b/>
                <w:bCs/>
                <w:color w:val="1E2761"/>
                <w:sz w:val="21"/>
                <w:szCs w:val="21"/>
              </w:rPr>
              <w:t>IPO Size</w:t>
            </w:r>
          </w:p>
        </w:tc>
        <w:tc>
          <w:tcPr>
            <w:tcW w:w="66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2C" w14:textId="77777777">
            <w:r>
              <w:rPr>
                <w:color w:val="1E293B"/>
                <w:sz w:val="21"/>
                <w:szCs w:val="21"/>
              </w:rPr>
              <w:t>$400 million in new equity proceeds</w:t>
            </w:r>
          </w:p>
        </w:tc>
      </w:tr>
      <w:tr w14:paraId="28CED330" w14:textId="77777777">
        <w:tblPrEx>
          <w:tblCellMar>
            <w:top w:w="0" w:type="dxa"/>
            <w:bottom w:w="0" w:type="dxa"/>
          </w:tblCellMar>
        </w:tblPrEx>
        <w:tc>
          <w:tcPr>
            <w:tcW w:w="27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2E" w14:textId="77777777">
            <w:r>
              <w:rPr>
                <w:b/>
                <w:bCs/>
                <w:color w:val="1E2761"/>
                <w:sz w:val="21"/>
                <w:szCs w:val="21"/>
              </w:rPr>
              <w:t>New Shares Issued</w:t>
            </w:r>
          </w:p>
        </w:tc>
        <w:tc>
          <w:tcPr>
            <w:tcW w:w="6660" w:type="dxa"/>
            <w:tcBorders>
              <w:top w:val="single" w:sz="4" w:space="0" w:color="CADCFC"/>
              <w:left w:val="single" w:sz="4" w:space="0" w:color="CADCFC"/>
              <w:bottom w:val="single" w:sz="4" w:space="0" w:color="CADCFC"/>
              <w:right w:val="single" w:sz="4" w:space="0" w:color="CADCFC"/>
            </w:tcBorders>
            <w:shd w:val="clear" w:color="auto" w:fill="F8FAFF"/>
            <w:tcMar>
              <w:top w:w="80" w:type="dxa"/>
              <w:left w:w="120" w:type="dxa"/>
              <w:bottom w:w="80" w:type="dxa"/>
              <w:right w:w="120" w:type="dxa"/>
            </w:tcMar>
            <w:vAlign w:val="center"/>
          </w:tcPr>
          <w:p w14:paraId="28CED32F" w14:textId="77777777">
            <w:r>
              <w:rPr>
                <w:color w:val="1E293B"/>
                <w:sz w:val="21"/>
                <w:szCs w:val="21"/>
              </w:rPr>
              <w:t>20 million shares at $20.00 per share</w:t>
            </w:r>
          </w:p>
        </w:tc>
      </w:tr>
      <w:tr w14:paraId="28CED333" w14:textId="77777777">
        <w:tblPrEx>
          <w:tblCellMar>
            <w:top w:w="0" w:type="dxa"/>
            <w:bottom w:w="0" w:type="dxa"/>
          </w:tblCellMar>
        </w:tblPrEx>
        <w:tc>
          <w:tcPr>
            <w:tcW w:w="27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331" w14:textId="77777777">
            <w:r>
              <w:rPr>
                <w:b/>
                <w:bCs/>
                <w:color w:val="1E2761"/>
                <w:sz w:val="21"/>
                <w:szCs w:val="21"/>
              </w:rPr>
              <w:t>Pre-IPO Shares Outstanding</w:t>
            </w:r>
          </w:p>
        </w:tc>
        <w:tc>
          <w:tcPr>
            <w:tcW w:w="66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32" w14:textId="77777777">
            <w:r>
              <w:rPr>
                <w:color w:val="1E293B"/>
                <w:sz w:val="21"/>
                <w:szCs w:val="21"/>
              </w:rPr>
              <w:t>50 million shares</w:t>
            </w:r>
          </w:p>
        </w:tc>
      </w:tr>
      <w:tr w14:paraId="28CED336" w14:textId="77777777">
        <w:tblPrEx>
          <w:tblCellMar>
            <w:top w:w="0" w:type="dxa"/>
            <w:bottom w:w="0" w:type="dxa"/>
          </w:tblCellMar>
        </w:tblPrEx>
        <w:tc>
          <w:tcPr>
            <w:tcW w:w="27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34" w14:textId="77777777">
            <w:r>
              <w:rPr>
                <w:b/>
                <w:bCs/>
                <w:color w:val="1E2761"/>
                <w:sz w:val="21"/>
                <w:szCs w:val="21"/>
              </w:rPr>
              <w:t>Post-IPO Total Shares</w:t>
            </w:r>
          </w:p>
        </w:tc>
        <w:tc>
          <w:tcPr>
            <w:tcW w:w="6660" w:type="dxa"/>
            <w:tcBorders>
              <w:top w:val="single" w:sz="4" w:space="0" w:color="CADCFC"/>
              <w:left w:val="single" w:sz="4" w:space="0" w:color="CADCFC"/>
              <w:bottom w:val="single" w:sz="4" w:space="0" w:color="CADCFC"/>
              <w:right w:val="single" w:sz="4" w:space="0" w:color="CADCFC"/>
            </w:tcBorders>
            <w:shd w:val="clear" w:color="auto" w:fill="F8FAFF"/>
            <w:tcMar>
              <w:top w:w="80" w:type="dxa"/>
              <w:left w:w="120" w:type="dxa"/>
              <w:bottom w:w="80" w:type="dxa"/>
              <w:right w:w="120" w:type="dxa"/>
            </w:tcMar>
            <w:vAlign w:val="center"/>
          </w:tcPr>
          <w:p w14:paraId="28CED335" w14:textId="77777777">
            <w:r>
              <w:rPr>
                <w:color w:val="1E293B"/>
                <w:sz w:val="21"/>
                <w:szCs w:val="21"/>
              </w:rPr>
              <w:t>70 million shares</w:t>
            </w:r>
          </w:p>
        </w:tc>
      </w:tr>
    </w:tbl>
    <w:p w14:paraId="28CED337" w14:textId="7777777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14:paraId="28CED33A" w14:textId="77777777">
        <w:tblPrEx>
          <w:tblCellMar>
            <w:top w:w="0" w:type="dxa"/>
            <w:bottom w:w="0" w:type="dxa"/>
          </w:tblCellMar>
        </w:tblPrEx>
        <w:tc>
          <w:tcPr>
            <w:tcW w:w="9360" w:type="dxa"/>
            <w:tcBorders>
              <w:top w:val="single" w:sz="4" w:space="0" w:color="CADCFC"/>
              <w:left w:val="single" w:sz="4" w:space="0" w:color="CADCFC"/>
              <w:bottom w:val="single" w:sz="4" w:space="0" w:color="CADCFC"/>
              <w:right w:val="single" w:sz="4" w:space="0" w:color="CADCFC"/>
            </w:tcBorders>
            <w:shd w:val="clear" w:color="auto" w:fill="EFF6FF"/>
            <w:tcMar>
              <w:top w:w="160" w:type="dxa"/>
              <w:left w:w="200" w:type="dxa"/>
              <w:bottom w:w="160" w:type="dxa"/>
              <w:right w:w="200" w:type="dxa"/>
            </w:tcMar>
          </w:tcPr>
          <w:p w14:paraId="28CED338" w14:textId="77777777">
            <w:pPr>
              <w:spacing w:after="60"/>
            </w:pPr>
            <w:r>
              <w:rPr>
                <w:rFonts w:ascii="Georgia" w:eastAsia="Georgia" w:hAnsi="Georgia" w:cs="Georgia"/>
                <w:b/>
                <w:bCs/>
                <w:color w:val="1E2761"/>
              </w:rPr>
              <w:t>The IPO Decision</w:t>
            </w:r>
          </w:p>
          <w:p w14:paraId="28CED339" w14:textId="77777777">
            <w:pPr>
              <w:spacing w:before="60" w:after="60"/>
            </w:pPr>
            <w:r>
              <w:rPr>
                <w:color w:val="1E293B"/>
              </w:rPr>
              <w:t>Apex is planning to use the $400 million in IPO proceeds in different ways depending on strategic priorities. Your job in Tab 4 is to evaluate three scenarios and determine which deployment strategy produces the best financial outcome for the company.</w:t>
            </w:r>
          </w:p>
        </w:tc>
      </w:tr>
    </w:tbl>
    <w:p w14:paraId="28CED33B" w14:textId="77777777">
      <w:pPr>
        <w:spacing w:before="160"/>
      </w:pPr>
    </w:p>
    <w:p w14:paraId="28CED33C" w14:textId="77777777">
      <w:pPr>
        <w:pBdr>
          <w:bottom w:val="single" w:sz="6" w:space="4" w:color="C9A84C"/>
        </w:pBdr>
        <w:spacing w:before="300" w:after="120"/>
      </w:pPr>
      <w:r>
        <w:rPr>
          <w:rFonts w:ascii="Georgia" w:eastAsia="Georgia" w:hAnsi="Georgia" w:cs="Georgia"/>
          <w:b/>
          <w:bCs/>
          <w:color w:val="1E2761"/>
          <w:sz w:val="28"/>
          <w:szCs w:val="28"/>
        </w:rPr>
        <w:t>Section 3 — Your Excel Workbook: Tab-by-Tab Guide</w:t>
      </w:r>
    </w:p>
    <w:p w14:paraId="28CED33D" w14:textId="77777777">
      <w:pPr>
        <w:spacing w:before="60"/>
      </w:pPr>
    </w:p>
    <w:p w14:paraId="28CED33E" w14:textId="77777777">
      <w:pPr>
        <w:spacing w:before="60" w:after="60"/>
      </w:pPr>
      <w:r>
        <w:rPr>
          <w:color w:val="1E293B"/>
        </w:rPr>
        <w:t>The Excel workbook contains four student tabs. Complete them in order — each tab builds on the previous one.</w:t>
      </w:r>
    </w:p>
    <w:p w14:paraId="28CED33F" w14:textId="7777777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14:paraId="28CED342" w14:textId="77777777">
        <w:tblPrEx>
          <w:tblCellMar>
            <w:top w:w="0" w:type="dxa"/>
            <w:bottom w:w="0" w:type="dxa"/>
          </w:tblCellMar>
        </w:tblPrEx>
        <w:tc>
          <w:tcPr>
            <w:tcW w:w="9360" w:type="dxa"/>
            <w:tcBorders>
              <w:top w:val="single" w:sz="8" w:space="0" w:color="1E2761"/>
              <w:left w:val="single" w:sz="8" w:space="0" w:color="1E2761"/>
            </w:tcBorders>
            <w:shd w:val="clear" w:color="auto" w:fill="1E2761"/>
            <w:tcMar>
              <w:top w:w="120" w:type="dxa"/>
              <w:left w:w="200" w:type="dxa"/>
              <w:bottom w:w="100" w:type="dxa"/>
              <w:right w:w="200" w:type="dxa"/>
            </w:tcMar>
          </w:tcPr>
          <w:p w14:paraId="28CED340" w14:textId="77777777">
            <w:pPr>
              <w:spacing w:after="40"/>
            </w:pPr>
            <w:r>
              <w:rPr>
                <w:rFonts w:ascii="Georgia" w:eastAsia="Georgia" w:hAnsi="Georgia" w:cs="Georgia"/>
                <w:b/>
                <w:bCs/>
                <w:color w:val="FFFFFF"/>
                <w:sz w:val="26"/>
                <w:szCs w:val="26"/>
              </w:rPr>
              <w:t>Tab 1 — Company Profile</w:t>
            </w:r>
            <w:r>
              <w:rPr>
                <w:color w:val="D4D4D4"/>
                <w:sz w:val="20"/>
                <w:szCs w:val="20"/>
              </w:rPr>
              <w:t xml:space="preserve">   —   5 min (review only)</w:t>
            </w:r>
          </w:p>
          <w:p w14:paraId="28CED341" w14:textId="77777777">
            <w:r>
              <w:rPr>
                <w:color w:val="CADCFC"/>
                <w:sz w:val="20"/>
                <w:szCs w:val="20"/>
              </w:rPr>
              <w:t>Understand the financial foundation before you start building models.</w:t>
            </w:r>
          </w:p>
        </w:tc>
      </w:tr>
      <w:tr w14:paraId="28CED34C" w14:textId="77777777">
        <w:tblPrEx>
          <w:tblCellMar>
            <w:top w:w="0" w:type="dxa"/>
            <w:bottom w:w="0" w:type="dxa"/>
          </w:tblCellMar>
        </w:tblPrEx>
        <w:tc>
          <w:tcPr>
            <w:tcW w:w="9360" w:type="dxa"/>
            <w:tcBorders>
              <w:left w:val="single" w:sz="8" w:space="0" w:color="1E2761"/>
              <w:bottom w:val="single" w:sz="8" w:space="0" w:color="1E2761"/>
            </w:tcBorders>
            <w:shd w:val="clear" w:color="auto" w:fill="FAFBFF"/>
            <w:tcMar>
              <w:top w:w="120" w:type="dxa"/>
              <w:left w:w="200" w:type="dxa"/>
              <w:bottom w:w="120" w:type="dxa"/>
              <w:right w:w="200" w:type="dxa"/>
            </w:tcMar>
          </w:tcPr>
          <w:p w14:paraId="28CED343" w14:textId="77777777">
            <w:pPr>
              <w:spacing w:after="60"/>
            </w:pPr>
            <w:r>
              <w:rPr>
                <w:b/>
                <w:bCs/>
                <w:color w:val="1E2761"/>
              </w:rPr>
              <w:t>What to do:</w:t>
            </w:r>
          </w:p>
          <w:p w14:paraId="28CED344" w14:textId="77777777">
            <w:pPr>
              <w:pStyle w:val="ListParagraph"/>
              <w:numPr>
                <w:ilvl w:val="0"/>
                <w:numId w:val="3"/>
              </w:numPr>
              <w:spacing w:before="40" w:after="40"/>
            </w:pPr>
            <w:r>
              <w:rPr>
                <w:color w:val="1E293B"/>
                <w:sz w:val="21"/>
                <w:szCs w:val="21"/>
              </w:rPr>
              <w:t>Review the pre-IPO Income Statement and Balance Sheet — these are provided for you.</w:t>
            </w:r>
          </w:p>
          <w:p w14:paraId="28CED345" w14:textId="77777777">
            <w:pPr>
              <w:pStyle w:val="ListParagraph"/>
              <w:numPr>
                <w:ilvl w:val="0"/>
                <w:numId w:val="3"/>
              </w:numPr>
              <w:spacing w:before="40" w:after="40"/>
            </w:pPr>
            <w:r>
              <w:rPr>
                <w:color w:val="1E293B"/>
                <w:sz w:val="21"/>
                <w:szCs w:val="21"/>
              </w:rPr>
              <w:t>Familiarize yourself with the Key Assumptions table on the right side of the sheet.</w:t>
            </w:r>
          </w:p>
          <w:p w14:paraId="28CED346" w14:textId="77777777">
            <w:pPr>
              <w:pStyle w:val="ListParagraph"/>
              <w:numPr>
                <w:ilvl w:val="0"/>
                <w:numId w:val="3"/>
              </w:numPr>
              <w:spacing w:before="40" w:after="40"/>
            </w:pPr>
            <w:r>
              <w:rPr>
                <w:color w:val="1E293B"/>
                <w:sz w:val="21"/>
                <w:szCs w:val="21"/>
              </w:rPr>
              <w:t>Note the color-code legend: yellow cells = your formula input; black text = provided data.</w:t>
            </w:r>
          </w:p>
          <w:p w14:paraId="28CED347" w14:textId="77777777">
            <w:pPr>
              <w:pStyle w:val="ListParagraph"/>
              <w:numPr>
                <w:ilvl w:val="0"/>
                <w:numId w:val="3"/>
              </w:numPr>
              <w:spacing w:before="40" w:after="40"/>
            </w:pPr>
            <w:r>
              <w:rPr>
                <w:color w:val="1E293B"/>
                <w:sz w:val="21"/>
                <w:szCs w:val="21"/>
              </w:rPr>
              <w:t>You do not need to enter any formulas on this tab.</w:t>
            </w:r>
          </w:p>
          <w:p w14:paraId="28CED348" w14:textId="77777777">
            <w:pPr>
              <w:spacing w:before="8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0"/>
            </w:tblGrid>
            <w:tr w14:paraId="28CED34A" w14:textId="77777777">
              <w:tblPrEx>
                <w:tblCellMar>
                  <w:top w:w="0" w:type="dxa"/>
                  <w:bottom w:w="0" w:type="dxa"/>
                </w:tblCellMar>
              </w:tblPrEx>
              <w:tc>
                <w:tcPr>
                  <w:tcW w:w="8900" w:type="dxa"/>
                  <w:tcBorders>
                    <w:top w:val="single" w:sz="4" w:space="0" w:color="C9A84C"/>
                    <w:left w:val="single" w:sz="4" w:space="0" w:color="C9A84C"/>
                    <w:bottom w:val="single" w:sz="4" w:space="0" w:color="C9A84C"/>
                    <w:right w:val="single" w:sz="4" w:space="0" w:color="C9A84C"/>
                  </w:tcBorders>
                  <w:shd w:val="clear" w:color="auto" w:fill="FFFBEB"/>
                  <w:tcMar>
                    <w:top w:w="80" w:type="dxa"/>
                    <w:left w:w="160" w:type="dxa"/>
                    <w:bottom w:w="80" w:type="dxa"/>
                    <w:right w:w="160" w:type="dxa"/>
                  </w:tcMar>
                </w:tcPr>
                <w:p w14:paraId="28CED349" w14:textId="77777777">
                  <w:proofErr w:type="gramStart"/>
                  <w:r>
                    <w:rPr>
                      <w:color w:val="92400E"/>
                      <w:sz w:val="20"/>
                      <w:szCs w:val="20"/>
                    </w:rPr>
                    <w:t>💡</w:t>
                  </w:r>
                  <w:r>
                    <w:rPr>
                      <w:color w:val="92400E"/>
                      <w:sz w:val="20"/>
                      <w:szCs w:val="20"/>
                    </w:rPr>
                    <w:t xml:space="preserve">  Tip</w:t>
                  </w:r>
                  <w:proofErr w:type="gramEnd"/>
                  <w:r>
                    <w:rPr>
                      <w:color w:val="92400E"/>
                      <w:sz w:val="20"/>
                      <w:szCs w:val="20"/>
                    </w:rPr>
                    <w:t>: Pay close attention to EBIT ($255M), Interest Expense ($36M), Net Income ($164.25M), and the balance sheet totals. You will reference these in later tabs.</w:t>
                  </w:r>
                </w:p>
              </w:tc>
            </w:tr>
          </w:tbl>
          <w:p w14:paraId="28CED34B" w14:textId="77777777"/>
        </w:tc>
      </w:tr>
    </w:tbl>
    <w:p w14:paraId="28CED34D" w14:textId="7777777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5"/>
      </w:tblGrid>
      <w:tr w14:paraId="28CED350" w14:textId="77777777">
        <w:tblPrEx>
          <w:tblCellMar>
            <w:top w:w="0" w:type="dxa"/>
            <w:bottom w:w="0" w:type="dxa"/>
          </w:tblCellMar>
        </w:tblPrEx>
        <w:tc>
          <w:tcPr>
            <w:tcW w:w="9360" w:type="dxa"/>
            <w:tcBorders>
              <w:top w:val="single" w:sz="8" w:space="0" w:color="166534"/>
              <w:left w:val="single" w:sz="8" w:space="0" w:color="166534"/>
            </w:tcBorders>
            <w:shd w:val="clear" w:color="auto" w:fill="166534"/>
            <w:tcMar>
              <w:top w:w="120" w:type="dxa"/>
              <w:left w:w="200" w:type="dxa"/>
              <w:bottom w:w="100" w:type="dxa"/>
              <w:right w:w="200" w:type="dxa"/>
            </w:tcMar>
          </w:tcPr>
          <w:p w14:paraId="28CED34E" w14:textId="77777777">
            <w:pPr>
              <w:spacing w:after="40"/>
            </w:pPr>
            <w:r>
              <w:rPr>
                <w:rFonts w:ascii="Georgia" w:eastAsia="Georgia" w:hAnsi="Georgia" w:cs="Georgia"/>
                <w:b/>
                <w:bCs/>
                <w:color w:val="FFFFFF"/>
                <w:sz w:val="26"/>
                <w:szCs w:val="26"/>
              </w:rPr>
              <w:t>Tab 2 — Equity Valuation</w:t>
            </w:r>
            <w:r>
              <w:rPr>
                <w:color w:val="D4D4D4"/>
                <w:sz w:val="20"/>
                <w:szCs w:val="20"/>
              </w:rPr>
              <w:t xml:space="preserve">   —   10 min</w:t>
            </w:r>
          </w:p>
          <w:p w14:paraId="28CED34F" w14:textId="77777777">
            <w:r>
              <w:rPr>
                <w:color w:val="CADCFC"/>
                <w:sz w:val="20"/>
                <w:szCs w:val="20"/>
              </w:rPr>
              <w:t>Build two valuation models to estimate the fair value of Apex stock.</w:t>
            </w:r>
          </w:p>
        </w:tc>
      </w:tr>
      <w:tr w14:paraId="28CED359" w14:textId="77777777">
        <w:tblPrEx>
          <w:tblCellMar>
            <w:top w:w="0" w:type="dxa"/>
            <w:bottom w:w="0" w:type="dxa"/>
          </w:tblCellMar>
        </w:tblPrEx>
        <w:tc>
          <w:tcPr>
            <w:tcW w:w="9360" w:type="dxa"/>
            <w:tcBorders>
              <w:left w:val="single" w:sz="8" w:space="0" w:color="166534"/>
              <w:bottom w:val="single" w:sz="8" w:space="0" w:color="166534"/>
            </w:tcBorders>
            <w:shd w:val="clear" w:color="auto" w:fill="FAFBFF"/>
            <w:tcMar>
              <w:top w:w="120" w:type="dxa"/>
              <w:left w:w="200" w:type="dxa"/>
              <w:bottom w:w="120" w:type="dxa"/>
              <w:right w:w="200" w:type="dxa"/>
            </w:tcMar>
          </w:tcPr>
          <w:p w14:paraId="28CED351" w14:textId="77777777">
            <w:pPr>
              <w:spacing w:after="60"/>
            </w:pPr>
            <w:r>
              <w:rPr>
                <w:b/>
                <w:bCs/>
                <w:color w:val="1E2761"/>
              </w:rPr>
              <w:t>What to do:</w:t>
            </w:r>
          </w:p>
          <w:p w14:paraId="28CED352" w14:textId="77777777">
            <w:pPr>
              <w:pStyle w:val="ListParagraph"/>
              <w:numPr>
                <w:ilvl w:val="0"/>
                <w:numId w:val="3"/>
              </w:numPr>
              <w:spacing w:before="40" w:after="40"/>
            </w:pPr>
            <w:r>
              <w:rPr>
                <w:color w:val="1E293B"/>
                <w:sz w:val="21"/>
                <w:szCs w:val="21"/>
              </w:rPr>
              <w:t>Part A — DDM: Enter the formula =D1/(r-g) in cell C12 using the dividend, required return, and growth rate from rows 6–8.</w:t>
            </w:r>
          </w:p>
          <w:p w14:paraId="28CED353" w14:textId="77777777">
            <w:pPr>
              <w:pStyle w:val="ListParagraph"/>
              <w:numPr>
                <w:ilvl w:val="0"/>
                <w:numId w:val="3"/>
              </w:numPr>
              <w:spacing w:before="40" w:after="40"/>
            </w:pPr>
            <w:r>
              <w:rPr>
                <w:color w:val="1E293B"/>
                <w:sz w:val="21"/>
                <w:szCs w:val="21"/>
              </w:rPr>
              <w:lastRenderedPageBreak/>
              <w:t>Part B — FCF Model: Calculate Enterprise Value (Step 1), Equity Value (Step 2), and Price Per Share (Step 3) in cells G11, G12, and G13.</w:t>
            </w:r>
          </w:p>
          <w:p w14:paraId="28CED354" w14:textId="77777777">
            <w:pPr>
              <w:pStyle w:val="ListParagraph"/>
              <w:numPr>
                <w:ilvl w:val="0"/>
                <w:numId w:val="3"/>
              </w:numPr>
              <w:spacing w:before="40" w:after="40"/>
            </w:pPr>
            <w:r>
              <w:rPr>
                <w:color w:val="1E293B"/>
                <w:sz w:val="21"/>
                <w:szCs w:val="21"/>
              </w:rPr>
              <w:t>Part C — Summary: Link your calculated prices into the comparison table and write one observation sentence for each model.</w:t>
            </w:r>
          </w:p>
          <w:p w14:paraId="28CED355" w14:textId="77777777">
            <w:pPr>
              <w:spacing w:before="8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0"/>
            </w:tblGrid>
            <w:tr w14:paraId="28CED357" w14:textId="77777777">
              <w:tblPrEx>
                <w:tblCellMar>
                  <w:top w:w="0" w:type="dxa"/>
                  <w:bottom w:w="0" w:type="dxa"/>
                </w:tblCellMar>
              </w:tblPrEx>
              <w:tc>
                <w:tcPr>
                  <w:tcW w:w="8900" w:type="dxa"/>
                  <w:tcBorders>
                    <w:top w:val="single" w:sz="4" w:space="0" w:color="C9A84C"/>
                    <w:left w:val="single" w:sz="4" w:space="0" w:color="C9A84C"/>
                    <w:bottom w:val="single" w:sz="4" w:space="0" w:color="C9A84C"/>
                    <w:right w:val="single" w:sz="4" w:space="0" w:color="C9A84C"/>
                  </w:tcBorders>
                  <w:shd w:val="clear" w:color="auto" w:fill="FFFBEB"/>
                  <w:tcMar>
                    <w:top w:w="80" w:type="dxa"/>
                    <w:left w:w="160" w:type="dxa"/>
                    <w:bottom w:w="80" w:type="dxa"/>
                    <w:right w:w="160" w:type="dxa"/>
                  </w:tcMar>
                </w:tcPr>
                <w:p w14:paraId="28CED356" w14:textId="77777777">
                  <w:proofErr w:type="gramStart"/>
                  <w:r>
                    <w:rPr>
                      <w:color w:val="92400E"/>
                      <w:sz w:val="20"/>
                      <w:szCs w:val="20"/>
                    </w:rPr>
                    <w:t>💡</w:t>
                  </w:r>
                  <w:r>
                    <w:rPr>
                      <w:color w:val="92400E"/>
                      <w:sz w:val="20"/>
                      <w:szCs w:val="20"/>
                    </w:rPr>
                    <w:t xml:space="preserve">  Tip</w:t>
                  </w:r>
                  <w:proofErr w:type="gramEnd"/>
                  <w:r>
                    <w:rPr>
                      <w:color w:val="92400E"/>
                      <w:sz w:val="20"/>
                      <w:szCs w:val="20"/>
                    </w:rPr>
                    <w:t>: Your DDM and FCF prices will likely be lower than the $20.00 IPO offer price. That is expected — real IPOs are often priced above pure model values to reflect growth potential and investor demand.</w:t>
                  </w:r>
                </w:p>
              </w:tc>
            </w:tr>
          </w:tbl>
          <w:p w14:paraId="28CED358" w14:textId="77777777"/>
        </w:tc>
      </w:tr>
      <w:tr w14:paraId="571CEFA7" w14:textId="77777777">
        <w:tblPrEx>
          <w:tblCellMar>
            <w:top w:w="0" w:type="dxa"/>
            <w:bottom w:w="0" w:type="dxa"/>
          </w:tblCellMar>
        </w:tblPrEx>
        <w:tc>
          <w:tcPr>
            <w:tcW w:w="9360" w:type="dxa"/>
            <w:tcBorders>
              <w:top w:val="single" w:sz="4" w:space="0" w:color="auto"/>
              <w:left w:val="single" w:sz="8" w:space="0" w:color="166534"/>
              <w:bottom w:val="single" w:sz="8" w:space="0" w:color="166534"/>
              <w:right w:val="single" w:sz="4" w:space="0" w:color="auto"/>
            </w:tcBorders>
            <w:shd w:val="clear" w:color="auto" w:fill="FAFBFF"/>
            <w:tcMar>
              <w:top w:w="120" w:type="dxa"/>
              <w:left w:w="200" w:type="dxa"/>
              <w:bottom w:w="120" w:type="dxa"/>
              <w:right w:w="200" w:type="dxa"/>
            </w:tcMar>
          </w:tcPr>
          <w:p w14:paraId="02DFDA95" w14:textId="78EF2B13">
            <w:pPr>
              <w:spacing w:after="60"/>
              <w:rPr>
                <w:b/>
                <w:bCs/>
                <w:color w:val="1E2761"/>
              </w:rPr>
            </w:pPr>
            <w:r>
              <w:rPr>
                <w:b/>
                <w:bCs/>
                <w:color w:val="1E2761"/>
              </w:rPr>
              <w:lastRenderedPageBreak/>
              <w:t>Tab 2</w:t>
            </w:r>
            <w:r>
              <w:rPr>
                <w:b/>
                <w:bCs/>
                <w:color w:val="1E2761"/>
              </w:rPr>
              <w:t>A</w:t>
            </w:r>
            <w:r>
              <w:rPr>
                <w:b/>
                <w:bCs/>
                <w:color w:val="1E2761"/>
              </w:rPr>
              <w:t xml:space="preserve"> — </w:t>
            </w:r>
            <w:r>
              <w:rPr>
                <w:b/>
                <w:bCs/>
                <w:color w:val="1E2761"/>
              </w:rPr>
              <w:t>Calculate the Net Income Under all</w:t>
            </w:r>
            <w:r>
              <w:rPr>
                <w:b/>
                <w:bCs/>
                <w:color w:val="1E2761"/>
              </w:rPr>
              <w:t xml:space="preserve"> scenarios</w:t>
            </w:r>
            <w:r>
              <w:rPr>
                <w:b/>
                <w:bCs/>
                <w:color w:val="1E2761"/>
              </w:rPr>
              <w:t xml:space="preserve">   —   </w:t>
            </w:r>
            <w:r>
              <w:rPr>
                <w:b/>
                <w:bCs/>
                <w:color w:val="1E2761"/>
              </w:rPr>
              <w:t>5</w:t>
            </w:r>
            <w:r>
              <w:rPr>
                <w:b/>
                <w:bCs/>
                <w:color w:val="1E2761"/>
              </w:rPr>
              <w:t xml:space="preserve"> min</w:t>
            </w:r>
          </w:p>
          <w:p w14:paraId="7B39AB0F" w14:textId="13597259">
            <w:pPr>
              <w:spacing w:after="60"/>
              <w:rPr>
                <w:b/>
                <w:bCs/>
                <w:color w:val="1E2761"/>
              </w:rPr>
            </w:pPr>
            <w:r>
              <w:rPr>
                <w:b/>
                <w:bCs/>
                <w:color w:val="1E2761"/>
              </w:rPr>
              <w:drawing>
                <wp:inline distT="0" distB="0" distL="0" distR="0" wp14:anchorId="69848617" wp14:editId="1C18FE51">
                  <wp:extent cx="6173061" cy="2248214"/>
                  <wp:effectExtent l="0" t="0" r="0" b="0"/>
                  <wp:docPr id="97971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18855" name=""/>
                          <pic:cNvPicPr/>
                        </pic:nvPicPr>
                        <pic:blipFill>
                          <a:blip r:embed="rId7"/>
                          <a:stretch>
                            <a:fillRect/>
                          </a:stretch>
                        </pic:blipFill>
                        <pic:spPr>
                          <a:xfrm>
                            <a:off x="0" y="0"/>
                            <a:ext cx="6173061" cy="2248214"/>
                          </a:xfrm>
                          <a:prstGeom prst="rect">
                            <a:avLst/>
                          </a:prstGeom>
                        </pic:spPr>
                      </pic:pic>
                    </a:graphicData>
                  </a:graphic>
                </wp:inline>
              </w:drawing>
            </w:r>
          </w:p>
          <w:p w14:paraId="60D143A5" w14:textId="0A545DA9">
            <w:pPr>
              <w:spacing w:after="60"/>
              <w:rPr>
                <w:b/>
                <w:bCs/>
                <w:color w:val="1E2761"/>
              </w:rPr>
            </w:pPr>
          </w:p>
        </w:tc>
      </w:tr>
      <w:tr w14:paraId="27E3339B" w14:textId="77777777">
        <w:tblPrEx>
          <w:tblCellMar>
            <w:top w:w="0" w:type="dxa"/>
            <w:bottom w:w="0" w:type="dxa"/>
          </w:tblCellMar>
        </w:tblPrEx>
        <w:tc>
          <w:tcPr>
            <w:tcW w:w="9360" w:type="dxa"/>
            <w:tcBorders>
              <w:top w:val="single" w:sz="4" w:space="0" w:color="auto"/>
              <w:left w:val="single" w:sz="8" w:space="0" w:color="166534"/>
              <w:bottom w:val="single" w:sz="8" w:space="0" w:color="166534"/>
              <w:right w:val="single" w:sz="4" w:space="0" w:color="auto"/>
            </w:tcBorders>
            <w:shd w:val="clear" w:color="auto" w:fill="FAFBFF"/>
            <w:tcMar>
              <w:top w:w="120" w:type="dxa"/>
              <w:left w:w="200" w:type="dxa"/>
              <w:bottom w:w="120" w:type="dxa"/>
              <w:right w:w="200" w:type="dxa"/>
            </w:tcMar>
          </w:tcPr>
          <w:p w14:paraId="0C22BAEE" w14:textId="77777777">
            <w:pPr>
              <w:spacing w:after="60"/>
              <w:rPr>
                <w:b/>
                <w:bCs/>
                <w:color w:val="1E2761"/>
              </w:rPr>
            </w:pPr>
            <w:r>
              <w:rPr>
                <w:b/>
                <w:bCs/>
                <w:color w:val="1E2761"/>
              </w:rPr>
              <w:t>What to do:</w:t>
            </w:r>
          </w:p>
          <w:p w14:paraId="01C15138" w14:textId="2BA9821E">
            <w:pPr>
              <w:pStyle w:val="ListParagraph"/>
              <w:numPr>
                <w:ilvl w:val="0"/>
                <w:numId w:val="5"/>
              </w:numPr>
              <w:spacing w:before="40" w:after="40"/>
              <w:rPr>
                <w:b/>
                <w:bCs/>
                <w:color w:val="1E2761"/>
              </w:rPr>
            </w:pPr>
            <w:r>
              <w:rPr>
                <w:b/>
                <w:bCs/>
                <w:color w:val="1E2761"/>
              </w:rPr>
              <w:t>Use this table format to calculate the net income.</w:t>
            </w:r>
          </w:p>
          <w:p w14:paraId="4AB5D245" w14:textId="34149CA6">
            <w:pPr>
              <w:pStyle w:val="ListParagraph"/>
              <w:numPr>
                <w:ilvl w:val="0"/>
                <w:numId w:val="5"/>
              </w:numPr>
              <w:spacing w:before="40" w:after="40"/>
              <w:rPr>
                <w:b/>
                <w:bCs/>
                <w:color w:val="1E2761"/>
              </w:rPr>
            </w:pPr>
            <w:r>
              <w:rPr>
                <w:b/>
                <w:bCs/>
                <w:color w:val="1E2761"/>
              </w:rPr>
              <w:t>Income tax</w:t>
            </w:r>
            <w:r>
              <w:rPr>
                <w:b/>
                <w:bCs/>
                <w:color w:val="1E2761"/>
              </w:rPr>
              <w:t xml:space="preserve"> paid</w:t>
            </w:r>
            <w:r>
              <w:rPr>
                <w:b/>
                <w:bCs/>
                <w:color w:val="1E2761"/>
              </w:rPr>
              <w:t xml:space="preserve"> will </w:t>
            </w:r>
            <w:r>
              <w:rPr>
                <w:b/>
                <w:bCs/>
                <w:color w:val="1E2761"/>
              </w:rPr>
              <w:t xml:space="preserve">need to </w:t>
            </w:r>
            <w:r>
              <w:rPr>
                <w:b/>
                <w:bCs/>
                <w:color w:val="1E2761"/>
              </w:rPr>
              <w:t>increase as the interest payment tax shield</w:t>
            </w:r>
            <w:r>
              <w:rPr>
                <w:b/>
                <w:bCs/>
                <w:color w:val="1E2761"/>
              </w:rPr>
              <w:t xml:space="preserve"> benefit</w:t>
            </w:r>
            <w:r>
              <w:rPr>
                <w:b/>
                <w:bCs/>
                <w:color w:val="1E2761"/>
              </w:rPr>
              <w:t xml:space="preserve"> is reduced</w:t>
            </w:r>
          </w:p>
          <w:p w14:paraId="6A0B02B5" w14:textId="7482E348">
            <w:pPr>
              <w:pStyle w:val="ListParagraph"/>
              <w:numPr>
                <w:ilvl w:val="0"/>
                <w:numId w:val="5"/>
              </w:numPr>
              <w:spacing w:before="40" w:after="40"/>
              <w:rPr>
                <w:b/>
                <w:bCs/>
                <w:color w:val="1E2761"/>
              </w:rPr>
            </w:pPr>
            <w:r>
              <w:rPr>
                <w:b/>
                <w:bCs/>
                <w:color w:val="1E2761"/>
              </w:rPr>
              <w:t>NI is</w:t>
            </w:r>
            <w:r>
              <w:rPr>
                <w:b/>
                <w:bCs/>
                <w:color w:val="1E2761"/>
              </w:rPr>
              <w:t xml:space="preserve"> improved by the interest saved, but it is slightly offset by the additional tax dollars paid</w:t>
            </w:r>
            <w:r>
              <w:rPr>
                <w:b/>
                <w:bCs/>
                <w:color w:val="1E2761"/>
              </w:rPr>
              <w:t>.</w:t>
            </w:r>
          </w:p>
          <w:p w14:paraId="7055735C" w14:textId="77777777">
            <w:pPr>
              <w:spacing w:after="60"/>
              <w:rPr>
                <w:b/>
                <w:bCs/>
                <w:color w:val="1E2761"/>
              </w:rPr>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0"/>
            </w:tblGrid>
            <w:tr w14:paraId="00A0963D" w14:textId="77777777">
              <w:tblPrEx>
                <w:tblCellMar>
                  <w:top w:w="0" w:type="dxa"/>
                  <w:bottom w:w="0" w:type="dxa"/>
                </w:tblCellMar>
              </w:tblPrEx>
              <w:tc>
                <w:tcPr>
                  <w:tcW w:w="8900" w:type="dxa"/>
                  <w:tcBorders>
                    <w:top w:val="single" w:sz="4" w:space="0" w:color="C9A84C"/>
                    <w:left w:val="single" w:sz="4" w:space="0" w:color="C9A84C"/>
                    <w:bottom w:val="single" w:sz="4" w:space="0" w:color="C9A84C"/>
                    <w:right w:val="single" w:sz="4" w:space="0" w:color="C9A84C"/>
                  </w:tcBorders>
                  <w:shd w:val="clear" w:color="auto" w:fill="FFFBEB"/>
                  <w:tcMar>
                    <w:top w:w="80" w:type="dxa"/>
                    <w:left w:w="160" w:type="dxa"/>
                    <w:bottom w:w="80" w:type="dxa"/>
                    <w:right w:w="160" w:type="dxa"/>
                  </w:tcMar>
                </w:tcPr>
                <w:p w14:paraId="19377C19" w14:textId="6199C348">
                  <w:proofErr w:type="gramStart"/>
                  <w:r>
                    <w:rPr>
                      <w:rFonts w:ascii="Segoe UI Emoji" w:hAnsi="Segoe UI Emoji" w:cs="Segoe UI Emoji"/>
                      <w:color w:val="92400E"/>
                      <w:sz w:val="20"/>
                      <w:szCs w:val="20"/>
                    </w:rPr>
                    <w:t>💡</w:t>
                  </w:r>
                  <w:r>
                    <w:rPr>
                      <w:color w:val="92400E"/>
                      <w:sz w:val="20"/>
                      <w:szCs w:val="20"/>
                    </w:rPr>
                    <w:t xml:space="preserve">  Tip</w:t>
                  </w:r>
                  <w:proofErr w:type="gramEnd"/>
                  <w:r>
                    <w:rPr>
                      <w:color w:val="92400E"/>
                      <w:sz w:val="20"/>
                      <w:szCs w:val="20"/>
                    </w:rPr>
                    <w:t xml:space="preserve">: </w:t>
                  </w:r>
                </w:p>
              </w:tc>
            </w:tr>
          </w:tbl>
          <w:p w14:paraId="2BB05CC1" w14:textId="77777777">
            <w:pPr>
              <w:spacing w:after="60"/>
              <w:rPr>
                <w:b/>
                <w:bCs/>
                <w:color w:val="1E2761"/>
              </w:rPr>
            </w:pPr>
          </w:p>
        </w:tc>
      </w:tr>
    </w:tbl>
    <w:p w14:paraId="28CED35A" w14:textId="7777777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14:paraId="28CED35D" w14:textId="77777777">
        <w:tblPrEx>
          <w:tblCellMar>
            <w:top w:w="0" w:type="dxa"/>
            <w:bottom w:w="0" w:type="dxa"/>
          </w:tblCellMar>
        </w:tblPrEx>
        <w:tc>
          <w:tcPr>
            <w:tcW w:w="9360" w:type="dxa"/>
            <w:tcBorders>
              <w:top w:val="single" w:sz="8" w:space="0" w:color="1D4ED8"/>
              <w:left w:val="single" w:sz="8" w:space="0" w:color="1D4ED8"/>
            </w:tcBorders>
            <w:shd w:val="clear" w:color="auto" w:fill="1D4ED8"/>
            <w:tcMar>
              <w:top w:w="120" w:type="dxa"/>
              <w:left w:w="200" w:type="dxa"/>
              <w:bottom w:w="100" w:type="dxa"/>
              <w:right w:w="200" w:type="dxa"/>
            </w:tcMar>
          </w:tcPr>
          <w:p w14:paraId="28CED35B" w14:textId="77777777">
            <w:pPr>
              <w:spacing w:after="40"/>
            </w:pPr>
            <w:r>
              <w:rPr>
                <w:rFonts w:ascii="Georgia" w:eastAsia="Georgia" w:hAnsi="Georgia" w:cs="Georgia"/>
                <w:b/>
                <w:bCs/>
                <w:color w:val="FFFFFF"/>
                <w:sz w:val="26"/>
                <w:szCs w:val="26"/>
              </w:rPr>
              <w:t>Tab 3 — Ratio Analysis</w:t>
            </w:r>
            <w:r>
              <w:rPr>
                <w:color w:val="D4D4D4"/>
                <w:sz w:val="20"/>
                <w:szCs w:val="20"/>
              </w:rPr>
              <w:t xml:space="preserve">   —   10 min</w:t>
            </w:r>
          </w:p>
          <w:p w14:paraId="28CED35C" w14:textId="77777777">
            <w:r>
              <w:rPr>
                <w:color w:val="CADCFC"/>
                <w:sz w:val="20"/>
                <w:szCs w:val="20"/>
              </w:rPr>
              <w:t>Calculate six key financial ratios before and after the IPO.</w:t>
            </w:r>
          </w:p>
        </w:tc>
      </w:tr>
      <w:tr w14:paraId="28CED367" w14:textId="77777777">
        <w:tblPrEx>
          <w:tblCellMar>
            <w:top w:w="0" w:type="dxa"/>
            <w:bottom w:w="0" w:type="dxa"/>
          </w:tblCellMar>
        </w:tblPrEx>
        <w:tc>
          <w:tcPr>
            <w:tcW w:w="9360" w:type="dxa"/>
            <w:tcBorders>
              <w:left w:val="single" w:sz="8" w:space="0" w:color="1D4ED8"/>
              <w:bottom w:val="single" w:sz="8" w:space="0" w:color="1D4ED8"/>
            </w:tcBorders>
            <w:shd w:val="clear" w:color="auto" w:fill="FAFBFF"/>
            <w:tcMar>
              <w:top w:w="120" w:type="dxa"/>
              <w:left w:w="200" w:type="dxa"/>
              <w:bottom w:w="120" w:type="dxa"/>
              <w:right w:w="200" w:type="dxa"/>
            </w:tcMar>
          </w:tcPr>
          <w:p w14:paraId="28CED35E" w14:textId="77777777">
            <w:pPr>
              <w:spacing w:after="60"/>
            </w:pPr>
            <w:r>
              <w:rPr>
                <w:b/>
                <w:bCs/>
                <w:color w:val="1E2761"/>
              </w:rPr>
              <w:t>What to do:</w:t>
            </w:r>
          </w:p>
          <w:p w14:paraId="28CED35F" w14:textId="77777777">
            <w:pPr>
              <w:pStyle w:val="ListParagraph"/>
              <w:numPr>
                <w:ilvl w:val="0"/>
                <w:numId w:val="5"/>
              </w:numPr>
              <w:spacing w:before="40" w:after="40"/>
            </w:pPr>
            <w:r>
              <w:rPr>
                <w:color w:val="1E293B"/>
                <w:sz w:val="21"/>
                <w:szCs w:val="21"/>
              </w:rPr>
              <w:t xml:space="preserve">First, complete the Post-IPO Balance Sheet Adjustments section at the top. Calculate the </w:t>
            </w:r>
            <w:proofErr w:type="gramStart"/>
            <w:r>
              <w:rPr>
                <w:color w:val="1E293B"/>
                <w:sz w:val="21"/>
                <w:szCs w:val="21"/>
              </w:rPr>
              <w:t>Post-IPO</w:t>
            </w:r>
            <w:proofErr w:type="gramEnd"/>
            <w:r>
              <w:rPr>
                <w:color w:val="1E293B"/>
                <w:sz w:val="21"/>
                <w:szCs w:val="21"/>
              </w:rPr>
              <w:t xml:space="preserve"> values in column F (yellow cells) by applying the IPO impact to each line item.</w:t>
            </w:r>
          </w:p>
          <w:p w14:paraId="28CED360" w14:textId="77777777">
            <w:pPr>
              <w:pStyle w:val="ListParagraph"/>
              <w:numPr>
                <w:ilvl w:val="0"/>
                <w:numId w:val="5"/>
              </w:numPr>
              <w:spacing w:before="40" w:after="40"/>
            </w:pPr>
            <w:r>
              <w:rPr>
                <w:color w:val="1E293B"/>
                <w:sz w:val="21"/>
                <w:szCs w:val="21"/>
              </w:rPr>
              <w:t xml:space="preserve">Then calculate each ratio in the </w:t>
            </w:r>
            <w:proofErr w:type="gramStart"/>
            <w:r>
              <w:rPr>
                <w:color w:val="1E293B"/>
                <w:sz w:val="21"/>
                <w:szCs w:val="21"/>
              </w:rPr>
              <w:t>Pre-IPO</w:t>
            </w:r>
            <w:proofErr w:type="gramEnd"/>
            <w:r>
              <w:rPr>
                <w:color w:val="1E293B"/>
                <w:sz w:val="21"/>
                <w:szCs w:val="21"/>
              </w:rPr>
              <w:t xml:space="preserve"> (column D) and Post-IPO (column E) columns using Excel formulas — do not hardcode numbers.</w:t>
            </w:r>
          </w:p>
          <w:p w14:paraId="28CED361" w14:textId="77777777">
            <w:pPr>
              <w:pStyle w:val="ListParagraph"/>
              <w:numPr>
                <w:ilvl w:val="0"/>
                <w:numId w:val="5"/>
              </w:numPr>
              <w:spacing w:before="40" w:after="40"/>
            </w:pPr>
            <w:r>
              <w:rPr>
                <w:color w:val="1E293B"/>
                <w:sz w:val="21"/>
                <w:szCs w:val="21"/>
              </w:rPr>
              <w:t>Column F asks you to calculate the change (Post-IPO minus Pre-IPO).</w:t>
            </w:r>
          </w:p>
          <w:p w14:paraId="28CED362" w14:textId="77777777">
            <w:pPr>
              <w:pStyle w:val="ListParagraph"/>
              <w:numPr>
                <w:ilvl w:val="0"/>
                <w:numId w:val="5"/>
              </w:numPr>
              <w:spacing w:before="40" w:after="40"/>
            </w:pPr>
            <w:r>
              <w:rPr>
                <w:color w:val="1E293B"/>
                <w:sz w:val="21"/>
                <w:szCs w:val="21"/>
              </w:rPr>
              <w:t>Answer the three Reflection Questions at the bottom of the tab in the yellow text boxes.</w:t>
            </w:r>
          </w:p>
          <w:p w14:paraId="28CED363" w14:textId="77777777">
            <w:pPr>
              <w:spacing w:before="8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0"/>
            </w:tblGrid>
            <w:tr w14:paraId="28CED365" w14:textId="77777777">
              <w:tblPrEx>
                <w:tblCellMar>
                  <w:top w:w="0" w:type="dxa"/>
                  <w:bottom w:w="0" w:type="dxa"/>
                </w:tblCellMar>
              </w:tblPrEx>
              <w:tc>
                <w:tcPr>
                  <w:tcW w:w="8900" w:type="dxa"/>
                  <w:tcBorders>
                    <w:top w:val="single" w:sz="4" w:space="0" w:color="C9A84C"/>
                    <w:left w:val="single" w:sz="4" w:space="0" w:color="C9A84C"/>
                    <w:bottom w:val="single" w:sz="4" w:space="0" w:color="C9A84C"/>
                    <w:right w:val="single" w:sz="4" w:space="0" w:color="C9A84C"/>
                  </w:tcBorders>
                  <w:shd w:val="clear" w:color="auto" w:fill="FFFBEB"/>
                  <w:tcMar>
                    <w:top w:w="80" w:type="dxa"/>
                    <w:left w:w="160" w:type="dxa"/>
                    <w:bottom w:w="80" w:type="dxa"/>
                    <w:right w:w="160" w:type="dxa"/>
                  </w:tcMar>
                </w:tcPr>
                <w:p w14:paraId="28CED364" w14:textId="77777777">
                  <w:proofErr w:type="gramStart"/>
                  <w:r>
                    <w:rPr>
                      <w:color w:val="92400E"/>
                      <w:sz w:val="20"/>
                      <w:szCs w:val="20"/>
                    </w:rPr>
                    <w:lastRenderedPageBreak/>
                    <w:t>💡</w:t>
                  </w:r>
                  <w:r>
                    <w:rPr>
                      <w:color w:val="92400E"/>
                      <w:sz w:val="20"/>
                      <w:szCs w:val="20"/>
                    </w:rPr>
                    <w:t xml:space="preserve">  Tip</w:t>
                  </w:r>
                  <w:proofErr w:type="gramEnd"/>
                  <w:r>
                    <w:rPr>
                      <w:color w:val="92400E"/>
                      <w:sz w:val="20"/>
                      <w:szCs w:val="20"/>
                    </w:rPr>
                    <w:t>: For the Post-IPO scenario on Tab 3, Apex uses 50% of proceeds ($200M) to pay down debt and 50% ($200M) for new capital expenditures.</w:t>
                  </w:r>
                </w:p>
              </w:tc>
            </w:tr>
          </w:tbl>
          <w:p w14:paraId="28CED366" w14:textId="77777777"/>
        </w:tc>
      </w:tr>
    </w:tbl>
    <w:p w14:paraId="28CED368" w14:textId="7777777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14:paraId="28CED36B" w14:textId="77777777">
        <w:tblPrEx>
          <w:tblCellMar>
            <w:top w:w="0" w:type="dxa"/>
            <w:bottom w:w="0" w:type="dxa"/>
          </w:tblCellMar>
        </w:tblPrEx>
        <w:tc>
          <w:tcPr>
            <w:tcW w:w="9360" w:type="dxa"/>
            <w:tcBorders>
              <w:top w:val="single" w:sz="8" w:space="0" w:color="6D2E46"/>
              <w:left w:val="single" w:sz="8" w:space="0" w:color="6D2E46"/>
            </w:tcBorders>
            <w:shd w:val="clear" w:color="auto" w:fill="6D2E46"/>
            <w:tcMar>
              <w:top w:w="120" w:type="dxa"/>
              <w:left w:w="200" w:type="dxa"/>
              <w:bottom w:w="100" w:type="dxa"/>
              <w:right w:w="200" w:type="dxa"/>
            </w:tcMar>
          </w:tcPr>
          <w:p w14:paraId="28CED369" w14:textId="77777777">
            <w:pPr>
              <w:spacing w:after="40"/>
            </w:pPr>
            <w:r>
              <w:rPr>
                <w:rFonts w:ascii="Georgia" w:eastAsia="Georgia" w:hAnsi="Georgia" w:cs="Georgia"/>
                <w:b/>
                <w:bCs/>
                <w:color w:val="FFFFFF"/>
                <w:sz w:val="26"/>
                <w:szCs w:val="26"/>
              </w:rPr>
              <w:t>Tab 4 — Scenario Analysis</w:t>
            </w:r>
            <w:r>
              <w:rPr>
                <w:color w:val="D4D4D4"/>
                <w:sz w:val="20"/>
                <w:szCs w:val="20"/>
              </w:rPr>
              <w:t xml:space="preserve">   —   10 min</w:t>
            </w:r>
          </w:p>
          <w:p w14:paraId="28CED36A" w14:textId="77777777">
            <w:r>
              <w:rPr>
                <w:color w:val="CADCFC"/>
                <w:sz w:val="20"/>
                <w:szCs w:val="20"/>
              </w:rPr>
              <w:t>Compare three different IPO proceeds strategies and recommend the best one.</w:t>
            </w:r>
          </w:p>
        </w:tc>
      </w:tr>
      <w:tr w14:paraId="28CED375" w14:textId="77777777">
        <w:tblPrEx>
          <w:tblCellMar>
            <w:top w:w="0" w:type="dxa"/>
            <w:bottom w:w="0" w:type="dxa"/>
          </w:tblCellMar>
        </w:tblPrEx>
        <w:tc>
          <w:tcPr>
            <w:tcW w:w="9360" w:type="dxa"/>
            <w:tcBorders>
              <w:left w:val="single" w:sz="8" w:space="0" w:color="6D2E46"/>
              <w:bottom w:val="single" w:sz="8" w:space="0" w:color="6D2E46"/>
            </w:tcBorders>
            <w:shd w:val="clear" w:color="auto" w:fill="FAFBFF"/>
            <w:tcMar>
              <w:top w:w="120" w:type="dxa"/>
              <w:left w:w="200" w:type="dxa"/>
              <w:bottom w:w="120" w:type="dxa"/>
              <w:right w:w="200" w:type="dxa"/>
            </w:tcMar>
          </w:tcPr>
          <w:p w14:paraId="28CED36C" w14:textId="77777777">
            <w:pPr>
              <w:spacing w:after="60"/>
            </w:pPr>
            <w:r>
              <w:rPr>
                <w:b/>
                <w:bCs/>
                <w:color w:val="1E2761"/>
              </w:rPr>
              <w:t>What to do:</w:t>
            </w:r>
          </w:p>
          <w:p w14:paraId="28CED36D" w14:textId="77777777">
            <w:pPr>
              <w:pStyle w:val="ListParagraph"/>
              <w:numPr>
                <w:ilvl w:val="0"/>
                <w:numId w:val="5"/>
              </w:numPr>
              <w:spacing w:before="40" w:after="40"/>
            </w:pPr>
            <w:r>
              <w:rPr>
                <w:color w:val="1E293B"/>
                <w:sz w:val="21"/>
                <w:szCs w:val="21"/>
              </w:rPr>
              <w:t>Review the three scenarios described at the top: Scenario A (all debt paydown), Scenario B (all capex investment), Scenario C (balanced 50/50 split).</w:t>
            </w:r>
          </w:p>
          <w:p w14:paraId="28CED36E" w14:textId="77777777">
            <w:pPr>
              <w:pStyle w:val="ListParagraph"/>
              <w:numPr>
                <w:ilvl w:val="0"/>
                <w:numId w:val="5"/>
              </w:numPr>
              <w:spacing w:before="40" w:after="40"/>
            </w:pPr>
            <w:r>
              <w:rPr>
                <w:color w:val="1E293B"/>
                <w:sz w:val="21"/>
                <w:szCs w:val="21"/>
              </w:rPr>
              <w:t xml:space="preserve">Complete the ratio impact table by calculating all six ratios under each scenario. The </w:t>
            </w:r>
            <w:proofErr w:type="gramStart"/>
            <w:r>
              <w:rPr>
                <w:color w:val="1E293B"/>
                <w:sz w:val="21"/>
                <w:szCs w:val="21"/>
              </w:rPr>
              <w:t>Pre-IPO</w:t>
            </w:r>
            <w:proofErr w:type="gramEnd"/>
            <w:r>
              <w:rPr>
                <w:color w:val="1E293B"/>
                <w:sz w:val="21"/>
                <w:szCs w:val="21"/>
              </w:rPr>
              <w:t xml:space="preserve"> baseline column is already filled in.</w:t>
            </w:r>
          </w:p>
          <w:p w14:paraId="28CED36F" w14:textId="77777777">
            <w:pPr>
              <w:pStyle w:val="ListParagraph"/>
              <w:numPr>
                <w:ilvl w:val="0"/>
                <w:numId w:val="5"/>
              </w:numPr>
              <w:spacing w:before="40" w:after="40"/>
            </w:pPr>
            <w:r>
              <w:rPr>
                <w:color w:val="1E293B"/>
                <w:sz w:val="21"/>
                <w:szCs w:val="21"/>
              </w:rPr>
              <w:t>In the Analysis section at the bottom, identify the best scenario for each evaluation criterion and write a one-sentence justification.</w:t>
            </w:r>
          </w:p>
          <w:p w14:paraId="28CED370" w14:textId="77777777">
            <w:pPr>
              <w:pStyle w:val="ListParagraph"/>
              <w:numPr>
                <w:ilvl w:val="0"/>
                <w:numId w:val="5"/>
              </w:numPr>
              <w:spacing w:before="40" w:after="40"/>
            </w:pPr>
            <w:r>
              <w:rPr>
                <w:color w:val="1E293B"/>
                <w:sz w:val="21"/>
                <w:szCs w:val="21"/>
              </w:rPr>
              <w:t>Use the Hint box provided if you need help setting up Scenario A calculations.</w:t>
            </w:r>
          </w:p>
          <w:p w14:paraId="28CED371" w14:textId="77777777">
            <w:pPr>
              <w:spacing w:before="8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0"/>
            </w:tblGrid>
            <w:tr w14:paraId="28CED373" w14:textId="77777777">
              <w:tblPrEx>
                <w:tblCellMar>
                  <w:top w:w="0" w:type="dxa"/>
                  <w:bottom w:w="0" w:type="dxa"/>
                </w:tblCellMar>
              </w:tblPrEx>
              <w:tc>
                <w:tcPr>
                  <w:tcW w:w="8900" w:type="dxa"/>
                  <w:tcBorders>
                    <w:top w:val="single" w:sz="4" w:space="0" w:color="C9A84C"/>
                    <w:left w:val="single" w:sz="4" w:space="0" w:color="C9A84C"/>
                    <w:bottom w:val="single" w:sz="4" w:space="0" w:color="C9A84C"/>
                    <w:right w:val="single" w:sz="4" w:space="0" w:color="C9A84C"/>
                  </w:tcBorders>
                  <w:shd w:val="clear" w:color="auto" w:fill="FFFBEB"/>
                  <w:tcMar>
                    <w:top w:w="80" w:type="dxa"/>
                    <w:left w:w="160" w:type="dxa"/>
                    <w:bottom w:w="80" w:type="dxa"/>
                    <w:right w:w="160" w:type="dxa"/>
                  </w:tcMar>
                </w:tcPr>
                <w:p w14:paraId="28CED372" w14:textId="77777777">
                  <w:proofErr w:type="gramStart"/>
                  <w:r>
                    <w:rPr>
                      <w:color w:val="92400E"/>
                      <w:sz w:val="20"/>
                      <w:szCs w:val="20"/>
                    </w:rPr>
                    <w:t>💡</w:t>
                  </w:r>
                  <w:r>
                    <w:rPr>
                      <w:color w:val="92400E"/>
                      <w:sz w:val="20"/>
                      <w:szCs w:val="20"/>
                    </w:rPr>
                    <w:t xml:space="preserve">  Tip</w:t>
                  </w:r>
                  <w:proofErr w:type="gramEnd"/>
                  <w:r>
                    <w:rPr>
                      <w:color w:val="92400E"/>
                      <w:sz w:val="20"/>
                      <w:szCs w:val="20"/>
                    </w:rPr>
                    <w:t xml:space="preserve">: Think carefully: Scenario A eliminates all interest expense, which directly increases Net Income. Scenario B adds $400M in assets but keeps debt unchanged. How does each </w:t>
                  </w:r>
                  <w:proofErr w:type="gramStart"/>
                  <w:r>
                    <w:rPr>
                      <w:color w:val="92400E"/>
                      <w:sz w:val="20"/>
                      <w:szCs w:val="20"/>
                    </w:rPr>
                    <w:t>affect</w:t>
                  </w:r>
                  <w:proofErr w:type="gramEnd"/>
                  <w:r>
                    <w:rPr>
                      <w:color w:val="92400E"/>
                      <w:sz w:val="20"/>
                      <w:szCs w:val="20"/>
                    </w:rPr>
                    <w:t xml:space="preserve"> ROE differently?</w:t>
                  </w:r>
                </w:p>
              </w:tc>
            </w:tr>
          </w:tbl>
          <w:p w14:paraId="28CED374" w14:textId="77777777"/>
        </w:tc>
      </w:tr>
    </w:tbl>
    <w:p w14:paraId="28CED376" w14:textId="77777777">
      <w:pPr>
        <w:spacing w:before="120"/>
      </w:pPr>
    </w:p>
    <w:p w14:paraId="28CED377" w14:textId="77777777">
      <w:pPr>
        <w:spacing w:before="60"/>
      </w:pPr>
    </w:p>
    <w:p w14:paraId="28CED378" w14:textId="77777777">
      <w:pPr>
        <w:pBdr>
          <w:bottom w:val="single" w:sz="6" w:space="4" w:color="C9A84C"/>
        </w:pBdr>
        <w:spacing w:before="300" w:after="120"/>
      </w:pPr>
      <w:r>
        <w:rPr>
          <w:rFonts w:ascii="Georgia" w:eastAsia="Georgia" w:hAnsi="Georgia" w:cs="Georgia"/>
          <w:b/>
          <w:bCs/>
          <w:color w:val="1E2761"/>
          <w:sz w:val="28"/>
          <w:szCs w:val="28"/>
        </w:rPr>
        <w:t>Section 4 — Formula Reference Sheet</w:t>
      </w:r>
    </w:p>
    <w:p w14:paraId="28CED379" w14:textId="77777777">
      <w:pPr>
        <w:spacing w:before="60"/>
      </w:pPr>
    </w:p>
    <w:p w14:paraId="28CED37A" w14:textId="77777777">
      <w:pPr>
        <w:spacing w:before="60" w:after="60"/>
      </w:pPr>
      <w:r>
        <w:rPr>
          <w:color w:val="1E293B"/>
        </w:rPr>
        <w:t>All formulas you need are provided below. Use cell references (not hardcoded values) in every yellow input cell.</w:t>
      </w:r>
    </w:p>
    <w:p w14:paraId="28CED37B" w14:textId="7777777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14:paraId="28CED37F" w14:textId="77777777">
        <w:tblPrEx>
          <w:tblCellMar>
            <w:top w:w="0" w:type="dxa"/>
            <w:bottom w:w="0" w:type="dxa"/>
          </w:tblCellMar>
        </w:tblPrEx>
        <w:trPr>
          <w:tblHeader/>
        </w:trPr>
        <w:tc>
          <w:tcPr>
            <w:tcW w:w="2800" w:type="dxa"/>
            <w:tcBorders>
              <w:top w:val="single" w:sz="4" w:space="0" w:color="C9A84C"/>
              <w:left w:val="single" w:sz="4" w:space="0" w:color="C9A84C"/>
              <w:bottom w:val="single" w:sz="4" w:space="0" w:color="C9A84C"/>
              <w:right w:val="single" w:sz="4" w:space="0" w:color="C9A84C"/>
            </w:tcBorders>
            <w:shd w:val="clear" w:color="auto" w:fill="1E2761"/>
            <w:tcMar>
              <w:top w:w="100" w:type="dxa"/>
              <w:left w:w="120" w:type="dxa"/>
              <w:bottom w:w="100" w:type="dxa"/>
              <w:right w:w="120" w:type="dxa"/>
            </w:tcMar>
            <w:vAlign w:val="center"/>
          </w:tcPr>
          <w:p w14:paraId="28CED37C" w14:textId="77777777">
            <w:pPr>
              <w:jc w:val="center"/>
            </w:pPr>
            <w:r>
              <w:rPr>
                <w:b/>
                <w:bCs/>
                <w:color w:val="FFFFFF"/>
                <w:sz w:val="20"/>
                <w:szCs w:val="20"/>
              </w:rPr>
              <w:t>Formula / Concept</w:t>
            </w:r>
          </w:p>
        </w:tc>
        <w:tc>
          <w:tcPr>
            <w:tcW w:w="2400" w:type="dxa"/>
            <w:tcBorders>
              <w:top w:val="single" w:sz="4" w:space="0" w:color="C9A84C"/>
              <w:left w:val="single" w:sz="4" w:space="0" w:color="C9A84C"/>
              <w:bottom w:val="single" w:sz="4" w:space="0" w:color="C9A84C"/>
              <w:right w:val="single" w:sz="4" w:space="0" w:color="C9A84C"/>
            </w:tcBorders>
            <w:shd w:val="clear" w:color="auto" w:fill="1E2761"/>
            <w:tcMar>
              <w:top w:w="100" w:type="dxa"/>
              <w:left w:w="120" w:type="dxa"/>
              <w:bottom w:w="100" w:type="dxa"/>
              <w:right w:w="120" w:type="dxa"/>
            </w:tcMar>
            <w:vAlign w:val="center"/>
          </w:tcPr>
          <w:p w14:paraId="28CED37D" w14:textId="77777777">
            <w:pPr>
              <w:jc w:val="center"/>
            </w:pPr>
            <w:r>
              <w:rPr>
                <w:b/>
                <w:bCs/>
                <w:color w:val="FFFFFF"/>
                <w:sz w:val="20"/>
                <w:szCs w:val="20"/>
              </w:rPr>
              <w:t>Expression</w:t>
            </w:r>
          </w:p>
        </w:tc>
        <w:tc>
          <w:tcPr>
            <w:tcW w:w="4160" w:type="dxa"/>
            <w:tcBorders>
              <w:top w:val="single" w:sz="4" w:space="0" w:color="C9A84C"/>
              <w:left w:val="single" w:sz="4" w:space="0" w:color="C9A84C"/>
              <w:bottom w:val="single" w:sz="4" w:space="0" w:color="C9A84C"/>
              <w:right w:val="single" w:sz="4" w:space="0" w:color="C9A84C"/>
            </w:tcBorders>
            <w:shd w:val="clear" w:color="auto" w:fill="1E2761"/>
            <w:tcMar>
              <w:top w:w="100" w:type="dxa"/>
              <w:left w:w="120" w:type="dxa"/>
              <w:bottom w:w="100" w:type="dxa"/>
              <w:right w:w="120" w:type="dxa"/>
            </w:tcMar>
            <w:vAlign w:val="center"/>
          </w:tcPr>
          <w:p w14:paraId="28CED37E" w14:textId="77777777">
            <w:pPr>
              <w:jc w:val="center"/>
            </w:pPr>
            <w:r>
              <w:rPr>
                <w:b/>
                <w:bCs/>
                <w:color w:val="FFFFFF"/>
                <w:sz w:val="20"/>
                <w:szCs w:val="20"/>
              </w:rPr>
              <w:t>Excel Approach</w:t>
            </w:r>
          </w:p>
        </w:tc>
      </w:tr>
      <w:tr w14:paraId="28CED383" w14:textId="77777777">
        <w:tblPrEx>
          <w:tblCellMar>
            <w:top w:w="0" w:type="dxa"/>
            <w:bottom w:w="0" w:type="dxa"/>
          </w:tblCellMar>
        </w:tblPrEx>
        <w:tc>
          <w:tcPr>
            <w:tcW w:w="28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80" w:type="dxa"/>
            </w:tcMar>
            <w:vAlign w:val="center"/>
          </w:tcPr>
          <w:p w14:paraId="28CED380" w14:textId="77777777">
            <w:r>
              <w:rPr>
                <w:b/>
                <w:bCs/>
                <w:color w:val="1E2761"/>
                <w:sz w:val="21"/>
                <w:szCs w:val="21"/>
              </w:rPr>
              <w:t>DDM Stock Price</w:t>
            </w:r>
          </w:p>
        </w:tc>
        <w:tc>
          <w:tcPr>
            <w:tcW w:w="24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120" w:type="dxa"/>
              <w:bottom w:w="80" w:type="dxa"/>
              <w:right w:w="80" w:type="dxa"/>
            </w:tcMar>
            <w:vAlign w:val="center"/>
          </w:tcPr>
          <w:p w14:paraId="28CED381" w14:textId="77777777">
            <w:pPr>
              <w:jc w:val="center"/>
            </w:pPr>
            <w:r>
              <w:rPr>
                <w:b/>
                <w:bCs/>
                <w:color w:val="C9A84C"/>
                <w:sz w:val="21"/>
                <w:szCs w:val="21"/>
              </w:rPr>
              <w:t>P₀ = D₁ / (r – g)</w:t>
            </w:r>
          </w:p>
        </w:tc>
        <w:tc>
          <w:tcPr>
            <w:tcW w:w="4160" w:type="dxa"/>
            <w:tcBorders>
              <w:top w:val="single" w:sz="4" w:space="0" w:color="CADCFC"/>
              <w:left w:val="single" w:sz="4" w:space="0" w:color="CADCFC"/>
              <w:bottom w:val="single" w:sz="4" w:space="0" w:color="CADCFC"/>
              <w:right w:val="single" w:sz="4" w:space="0" w:color="CADCFC"/>
            </w:tcBorders>
            <w:shd w:val="clear" w:color="auto" w:fill="FFF9E6"/>
            <w:tcMar>
              <w:top w:w="80" w:type="dxa"/>
              <w:left w:w="120" w:type="dxa"/>
              <w:bottom w:w="80" w:type="dxa"/>
              <w:right w:w="120" w:type="dxa"/>
            </w:tcMar>
            <w:vAlign w:val="center"/>
          </w:tcPr>
          <w:p w14:paraId="28CED382" w14:textId="77777777">
            <w:r>
              <w:rPr>
                <w:color w:val="0000AA"/>
                <w:sz w:val="19"/>
                <w:szCs w:val="19"/>
              </w:rPr>
              <w:t>=D1_cell / (</w:t>
            </w:r>
            <w:proofErr w:type="spellStart"/>
            <w:r>
              <w:rPr>
                <w:color w:val="0000AA"/>
                <w:sz w:val="19"/>
                <w:szCs w:val="19"/>
              </w:rPr>
              <w:t>r_cell</w:t>
            </w:r>
            <w:proofErr w:type="spellEnd"/>
            <w:r>
              <w:rPr>
                <w:color w:val="0000AA"/>
                <w:sz w:val="19"/>
                <w:szCs w:val="19"/>
              </w:rPr>
              <w:t xml:space="preserve"> - </w:t>
            </w:r>
            <w:proofErr w:type="spellStart"/>
            <w:r>
              <w:rPr>
                <w:color w:val="0000AA"/>
                <w:sz w:val="19"/>
                <w:szCs w:val="19"/>
              </w:rPr>
              <w:t>g_</w:t>
            </w:r>
            <w:proofErr w:type="gramStart"/>
            <w:r>
              <w:rPr>
                <w:color w:val="0000AA"/>
                <w:sz w:val="19"/>
                <w:szCs w:val="19"/>
              </w:rPr>
              <w:t>cell</w:t>
            </w:r>
            <w:proofErr w:type="spellEnd"/>
            <w:r>
              <w:rPr>
                <w:color w:val="0000AA"/>
                <w:sz w:val="19"/>
                <w:szCs w:val="19"/>
              </w:rPr>
              <w:t>)  →</w:t>
            </w:r>
            <w:proofErr w:type="gramEnd"/>
            <w:r>
              <w:rPr>
                <w:color w:val="0000AA"/>
                <w:sz w:val="19"/>
                <w:szCs w:val="19"/>
              </w:rPr>
              <w:t xml:space="preserve">  e.g., =D6/(D7-D8)</w:t>
            </w:r>
          </w:p>
        </w:tc>
      </w:tr>
      <w:tr w14:paraId="28CED387" w14:textId="77777777">
        <w:tblPrEx>
          <w:tblCellMar>
            <w:top w:w="0" w:type="dxa"/>
            <w:bottom w:w="0" w:type="dxa"/>
          </w:tblCellMar>
        </w:tblPrEx>
        <w:tc>
          <w:tcPr>
            <w:tcW w:w="28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80" w:type="dxa"/>
            </w:tcMar>
            <w:vAlign w:val="center"/>
          </w:tcPr>
          <w:p w14:paraId="28CED384" w14:textId="77777777">
            <w:r>
              <w:rPr>
                <w:b/>
                <w:bCs/>
                <w:color w:val="1E2761"/>
                <w:sz w:val="21"/>
                <w:szCs w:val="21"/>
              </w:rPr>
              <w:t>Enterprise Value (FCF)</w:t>
            </w:r>
          </w:p>
        </w:tc>
        <w:tc>
          <w:tcPr>
            <w:tcW w:w="24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120" w:type="dxa"/>
              <w:bottom w:w="80" w:type="dxa"/>
              <w:right w:w="80" w:type="dxa"/>
            </w:tcMar>
            <w:vAlign w:val="center"/>
          </w:tcPr>
          <w:p w14:paraId="28CED385" w14:textId="77777777">
            <w:pPr>
              <w:jc w:val="center"/>
            </w:pPr>
            <w:r>
              <w:rPr>
                <w:b/>
                <w:bCs/>
                <w:color w:val="C9A84C"/>
                <w:sz w:val="21"/>
                <w:szCs w:val="21"/>
              </w:rPr>
              <w:t>EV = FCF₁ / (WACC – g)</w:t>
            </w:r>
          </w:p>
        </w:tc>
        <w:tc>
          <w:tcPr>
            <w:tcW w:w="4160" w:type="dxa"/>
            <w:tcBorders>
              <w:top w:val="single" w:sz="4" w:space="0" w:color="CADCFC"/>
              <w:left w:val="single" w:sz="4" w:space="0" w:color="CADCFC"/>
              <w:bottom w:val="single" w:sz="4" w:space="0" w:color="CADCFC"/>
              <w:right w:val="single" w:sz="4" w:space="0" w:color="CADCFC"/>
            </w:tcBorders>
            <w:shd w:val="clear" w:color="auto" w:fill="FFFEF7"/>
            <w:tcMar>
              <w:top w:w="80" w:type="dxa"/>
              <w:left w:w="120" w:type="dxa"/>
              <w:bottom w:w="80" w:type="dxa"/>
              <w:right w:w="120" w:type="dxa"/>
            </w:tcMar>
            <w:vAlign w:val="center"/>
          </w:tcPr>
          <w:p w14:paraId="28CED386" w14:textId="77777777">
            <w:r>
              <w:rPr>
                <w:color w:val="0000AA"/>
                <w:sz w:val="19"/>
                <w:szCs w:val="19"/>
              </w:rPr>
              <w:t>=</w:t>
            </w:r>
            <w:proofErr w:type="spellStart"/>
            <w:r>
              <w:rPr>
                <w:color w:val="0000AA"/>
                <w:sz w:val="19"/>
                <w:szCs w:val="19"/>
              </w:rPr>
              <w:t>FCF_cell</w:t>
            </w:r>
            <w:proofErr w:type="spellEnd"/>
            <w:r>
              <w:rPr>
                <w:color w:val="0000AA"/>
                <w:sz w:val="19"/>
                <w:szCs w:val="19"/>
              </w:rPr>
              <w:t xml:space="preserve"> / (</w:t>
            </w:r>
            <w:proofErr w:type="spellStart"/>
            <w:r>
              <w:rPr>
                <w:color w:val="0000AA"/>
                <w:sz w:val="19"/>
                <w:szCs w:val="19"/>
              </w:rPr>
              <w:t>WACC_cell</w:t>
            </w:r>
            <w:proofErr w:type="spellEnd"/>
            <w:r>
              <w:rPr>
                <w:color w:val="0000AA"/>
                <w:sz w:val="19"/>
                <w:szCs w:val="19"/>
              </w:rPr>
              <w:t xml:space="preserve"> - </w:t>
            </w:r>
            <w:proofErr w:type="spellStart"/>
            <w:r>
              <w:rPr>
                <w:color w:val="0000AA"/>
                <w:sz w:val="19"/>
                <w:szCs w:val="19"/>
              </w:rPr>
              <w:t>g_cell</w:t>
            </w:r>
            <w:proofErr w:type="spellEnd"/>
            <w:r>
              <w:rPr>
                <w:color w:val="0000AA"/>
                <w:sz w:val="19"/>
                <w:szCs w:val="19"/>
              </w:rPr>
              <w:t>)</w:t>
            </w:r>
          </w:p>
        </w:tc>
      </w:tr>
      <w:tr w14:paraId="28CED38B" w14:textId="77777777">
        <w:tblPrEx>
          <w:tblCellMar>
            <w:top w:w="0" w:type="dxa"/>
            <w:bottom w:w="0" w:type="dxa"/>
          </w:tblCellMar>
        </w:tblPrEx>
        <w:tc>
          <w:tcPr>
            <w:tcW w:w="28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80" w:type="dxa"/>
            </w:tcMar>
            <w:vAlign w:val="center"/>
          </w:tcPr>
          <w:p w14:paraId="28CED388" w14:textId="77777777">
            <w:r>
              <w:rPr>
                <w:b/>
                <w:bCs/>
                <w:color w:val="1E2761"/>
                <w:sz w:val="21"/>
                <w:szCs w:val="21"/>
              </w:rPr>
              <w:t>Equity Value</w:t>
            </w:r>
          </w:p>
        </w:tc>
        <w:tc>
          <w:tcPr>
            <w:tcW w:w="24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120" w:type="dxa"/>
              <w:bottom w:w="80" w:type="dxa"/>
              <w:right w:w="80" w:type="dxa"/>
            </w:tcMar>
            <w:vAlign w:val="center"/>
          </w:tcPr>
          <w:p w14:paraId="28CED389" w14:textId="77777777">
            <w:pPr>
              <w:jc w:val="center"/>
            </w:pPr>
            <w:r>
              <w:rPr>
                <w:b/>
                <w:bCs/>
                <w:color w:val="C9A84C"/>
                <w:sz w:val="21"/>
                <w:szCs w:val="21"/>
              </w:rPr>
              <w:t>EV – Net Debt</w:t>
            </w:r>
          </w:p>
        </w:tc>
        <w:tc>
          <w:tcPr>
            <w:tcW w:w="4160" w:type="dxa"/>
            <w:tcBorders>
              <w:top w:val="single" w:sz="4" w:space="0" w:color="CADCFC"/>
              <w:left w:val="single" w:sz="4" w:space="0" w:color="CADCFC"/>
              <w:bottom w:val="single" w:sz="4" w:space="0" w:color="CADCFC"/>
              <w:right w:val="single" w:sz="4" w:space="0" w:color="CADCFC"/>
            </w:tcBorders>
            <w:shd w:val="clear" w:color="auto" w:fill="FFF9E6"/>
            <w:tcMar>
              <w:top w:w="80" w:type="dxa"/>
              <w:left w:w="120" w:type="dxa"/>
              <w:bottom w:w="80" w:type="dxa"/>
              <w:right w:w="120" w:type="dxa"/>
            </w:tcMar>
            <w:vAlign w:val="center"/>
          </w:tcPr>
          <w:p w14:paraId="28CED38A" w14:textId="77777777">
            <w:r>
              <w:rPr>
                <w:color w:val="0000AA"/>
                <w:sz w:val="19"/>
                <w:szCs w:val="19"/>
              </w:rPr>
              <w:t>=</w:t>
            </w:r>
            <w:proofErr w:type="spellStart"/>
            <w:r>
              <w:rPr>
                <w:color w:val="0000AA"/>
                <w:sz w:val="19"/>
                <w:szCs w:val="19"/>
              </w:rPr>
              <w:t>EV_cell</w:t>
            </w:r>
            <w:proofErr w:type="spellEnd"/>
            <w:r>
              <w:rPr>
                <w:color w:val="0000AA"/>
                <w:sz w:val="19"/>
                <w:szCs w:val="19"/>
              </w:rPr>
              <w:t xml:space="preserve"> - Debt_cell + </w:t>
            </w:r>
            <w:proofErr w:type="spellStart"/>
            <w:r>
              <w:rPr>
                <w:color w:val="0000AA"/>
                <w:sz w:val="19"/>
                <w:szCs w:val="19"/>
              </w:rPr>
              <w:t>Cash_cell</w:t>
            </w:r>
            <w:proofErr w:type="spellEnd"/>
          </w:p>
        </w:tc>
      </w:tr>
      <w:tr w14:paraId="28CED38F" w14:textId="77777777">
        <w:tblPrEx>
          <w:tblCellMar>
            <w:top w:w="0" w:type="dxa"/>
            <w:bottom w:w="0" w:type="dxa"/>
          </w:tblCellMar>
        </w:tblPrEx>
        <w:tc>
          <w:tcPr>
            <w:tcW w:w="28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80" w:type="dxa"/>
            </w:tcMar>
            <w:vAlign w:val="center"/>
          </w:tcPr>
          <w:p w14:paraId="28CED38C" w14:textId="77777777">
            <w:r>
              <w:rPr>
                <w:b/>
                <w:bCs/>
                <w:color w:val="1E2761"/>
                <w:sz w:val="21"/>
                <w:szCs w:val="21"/>
              </w:rPr>
              <w:t>Price Per Share</w:t>
            </w:r>
          </w:p>
        </w:tc>
        <w:tc>
          <w:tcPr>
            <w:tcW w:w="24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120" w:type="dxa"/>
              <w:bottom w:w="80" w:type="dxa"/>
              <w:right w:w="80" w:type="dxa"/>
            </w:tcMar>
            <w:vAlign w:val="center"/>
          </w:tcPr>
          <w:p w14:paraId="28CED38D" w14:textId="77777777">
            <w:pPr>
              <w:jc w:val="center"/>
            </w:pPr>
            <w:r>
              <w:rPr>
                <w:b/>
                <w:bCs/>
                <w:color w:val="C9A84C"/>
                <w:sz w:val="21"/>
                <w:szCs w:val="21"/>
              </w:rPr>
              <w:t>Equity Value / Shares</w:t>
            </w:r>
          </w:p>
        </w:tc>
        <w:tc>
          <w:tcPr>
            <w:tcW w:w="4160" w:type="dxa"/>
            <w:tcBorders>
              <w:top w:val="single" w:sz="4" w:space="0" w:color="CADCFC"/>
              <w:left w:val="single" w:sz="4" w:space="0" w:color="CADCFC"/>
              <w:bottom w:val="single" w:sz="4" w:space="0" w:color="CADCFC"/>
              <w:right w:val="single" w:sz="4" w:space="0" w:color="CADCFC"/>
            </w:tcBorders>
            <w:shd w:val="clear" w:color="auto" w:fill="FFFEF7"/>
            <w:tcMar>
              <w:top w:w="80" w:type="dxa"/>
              <w:left w:w="120" w:type="dxa"/>
              <w:bottom w:w="80" w:type="dxa"/>
              <w:right w:w="120" w:type="dxa"/>
            </w:tcMar>
            <w:vAlign w:val="center"/>
          </w:tcPr>
          <w:p w14:paraId="28CED38E" w14:textId="77777777">
            <w:r>
              <w:rPr>
                <w:color w:val="0000AA"/>
                <w:sz w:val="19"/>
                <w:szCs w:val="19"/>
              </w:rPr>
              <w:t>=</w:t>
            </w:r>
            <w:proofErr w:type="spellStart"/>
            <w:r>
              <w:rPr>
                <w:color w:val="0000AA"/>
                <w:sz w:val="19"/>
                <w:szCs w:val="19"/>
              </w:rPr>
              <w:t>Equity_cell</w:t>
            </w:r>
            <w:proofErr w:type="spellEnd"/>
            <w:r>
              <w:rPr>
                <w:color w:val="0000AA"/>
                <w:sz w:val="19"/>
                <w:szCs w:val="19"/>
              </w:rPr>
              <w:t xml:space="preserve"> / </w:t>
            </w:r>
            <w:proofErr w:type="spellStart"/>
            <w:r>
              <w:rPr>
                <w:color w:val="0000AA"/>
                <w:sz w:val="19"/>
                <w:szCs w:val="19"/>
              </w:rPr>
              <w:t>Shares_cell</w:t>
            </w:r>
            <w:proofErr w:type="spellEnd"/>
          </w:p>
        </w:tc>
      </w:tr>
      <w:tr w14:paraId="28CED393" w14:textId="77777777">
        <w:tblPrEx>
          <w:tblCellMar>
            <w:top w:w="0" w:type="dxa"/>
            <w:bottom w:w="0" w:type="dxa"/>
          </w:tblCellMar>
        </w:tblPrEx>
        <w:tc>
          <w:tcPr>
            <w:tcW w:w="28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80" w:type="dxa"/>
            </w:tcMar>
            <w:vAlign w:val="center"/>
          </w:tcPr>
          <w:p w14:paraId="28CED390" w14:textId="77777777">
            <w:r>
              <w:rPr>
                <w:b/>
                <w:bCs/>
                <w:color w:val="1E2761"/>
                <w:sz w:val="21"/>
                <w:szCs w:val="21"/>
              </w:rPr>
              <w:t>Debt-to-Equity Ratio</w:t>
            </w:r>
          </w:p>
        </w:tc>
        <w:tc>
          <w:tcPr>
            <w:tcW w:w="24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120" w:type="dxa"/>
              <w:bottom w:w="80" w:type="dxa"/>
              <w:right w:w="80" w:type="dxa"/>
            </w:tcMar>
            <w:vAlign w:val="center"/>
          </w:tcPr>
          <w:p w14:paraId="28CED391" w14:textId="77777777">
            <w:pPr>
              <w:jc w:val="center"/>
            </w:pPr>
            <w:r>
              <w:rPr>
                <w:b/>
                <w:bCs/>
                <w:color w:val="C9A84C"/>
                <w:sz w:val="21"/>
                <w:szCs w:val="21"/>
              </w:rPr>
              <w:t>Total Debt / Equity</w:t>
            </w:r>
          </w:p>
        </w:tc>
        <w:tc>
          <w:tcPr>
            <w:tcW w:w="4160" w:type="dxa"/>
            <w:tcBorders>
              <w:top w:val="single" w:sz="4" w:space="0" w:color="CADCFC"/>
              <w:left w:val="single" w:sz="4" w:space="0" w:color="CADCFC"/>
              <w:bottom w:val="single" w:sz="4" w:space="0" w:color="CADCFC"/>
              <w:right w:val="single" w:sz="4" w:space="0" w:color="CADCFC"/>
            </w:tcBorders>
            <w:shd w:val="clear" w:color="auto" w:fill="FFF9E6"/>
            <w:tcMar>
              <w:top w:w="80" w:type="dxa"/>
              <w:left w:w="120" w:type="dxa"/>
              <w:bottom w:w="80" w:type="dxa"/>
              <w:right w:w="120" w:type="dxa"/>
            </w:tcMar>
            <w:vAlign w:val="center"/>
          </w:tcPr>
          <w:p w14:paraId="28CED392" w14:textId="77777777">
            <w:proofErr w:type="gramStart"/>
            <w:r>
              <w:rPr>
                <w:color w:val="0000AA"/>
                <w:sz w:val="19"/>
                <w:szCs w:val="19"/>
              </w:rPr>
              <w:t>=(</w:t>
            </w:r>
            <w:proofErr w:type="spellStart"/>
            <w:proofErr w:type="gramEnd"/>
            <w:r>
              <w:rPr>
                <w:color w:val="0000AA"/>
                <w:sz w:val="19"/>
                <w:szCs w:val="19"/>
              </w:rPr>
              <w:t>Short_Debt</w:t>
            </w:r>
            <w:proofErr w:type="spellEnd"/>
            <w:r>
              <w:rPr>
                <w:color w:val="0000AA"/>
                <w:sz w:val="19"/>
                <w:szCs w:val="19"/>
              </w:rPr>
              <w:t xml:space="preserve"> + </w:t>
            </w:r>
            <w:proofErr w:type="spellStart"/>
            <w:r>
              <w:rPr>
                <w:color w:val="0000AA"/>
                <w:sz w:val="19"/>
                <w:szCs w:val="19"/>
              </w:rPr>
              <w:t>Long_Debt</w:t>
            </w:r>
            <w:proofErr w:type="spellEnd"/>
            <w:r>
              <w:rPr>
                <w:color w:val="0000AA"/>
                <w:sz w:val="19"/>
                <w:szCs w:val="19"/>
              </w:rPr>
              <w:t>) / Equity</w:t>
            </w:r>
          </w:p>
        </w:tc>
      </w:tr>
      <w:tr w14:paraId="28CED397" w14:textId="77777777">
        <w:tblPrEx>
          <w:tblCellMar>
            <w:top w:w="0" w:type="dxa"/>
            <w:bottom w:w="0" w:type="dxa"/>
          </w:tblCellMar>
        </w:tblPrEx>
        <w:tc>
          <w:tcPr>
            <w:tcW w:w="28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80" w:type="dxa"/>
            </w:tcMar>
            <w:vAlign w:val="center"/>
          </w:tcPr>
          <w:p w14:paraId="28CED394" w14:textId="77777777">
            <w:r>
              <w:rPr>
                <w:b/>
                <w:bCs/>
                <w:color w:val="1E2761"/>
                <w:sz w:val="21"/>
                <w:szCs w:val="21"/>
              </w:rPr>
              <w:t>Current Ratio</w:t>
            </w:r>
          </w:p>
        </w:tc>
        <w:tc>
          <w:tcPr>
            <w:tcW w:w="24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120" w:type="dxa"/>
              <w:bottom w:w="80" w:type="dxa"/>
              <w:right w:w="80" w:type="dxa"/>
            </w:tcMar>
            <w:vAlign w:val="center"/>
          </w:tcPr>
          <w:p w14:paraId="28CED395" w14:textId="77777777">
            <w:pPr>
              <w:jc w:val="center"/>
            </w:pPr>
            <w:r>
              <w:rPr>
                <w:b/>
                <w:bCs/>
                <w:color w:val="C9A84C"/>
                <w:sz w:val="21"/>
                <w:szCs w:val="21"/>
              </w:rPr>
              <w:t>Current Assets / Current Liabilities</w:t>
            </w:r>
          </w:p>
        </w:tc>
        <w:tc>
          <w:tcPr>
            <w:tcW w:w="4160" w:type="dxa"/>
            <w:tcBorders>
              <w:top w:val="single" w:sz="4" w:space="0" w:color="CADCFC"/>
              <w:left w:val="single" w:sz="4" w:space="0" w:color="CADCFC"/>
              <w:bottom w:val="single" w:sz="4" w:space="0" w:color="CADCFC"/>
              <w:right w:val="single" w:sz="4" w:space="0" w:color="CADCFC"/>
            </w:tcBorders>
            <w:shd w:val="clear" w:color="auto" w:fill="FFFEF7"/>
            <w:tcMar>
              <w:top w:w="80" w:type="dxa"/>
              <w:left w:w="120" w:type="dxa"/>
              <w:bottom w:w="80" w:type="dxa"/>
              <w:right w:w="120" w:type="dxa"/>
            </w:tcMar>
            <w:vAlign w:val="center"/>
          </w:tcPr>
          <w:p w14:paraId="28CED396" w14:textId="77777777">
            <w:proofErr w:type="gramStart"/>
            <w:r>
              <w:rPr>
                <w:color w:val="0000AA"/>
                <w:sz w:val="19"/>
                <w:szCs w:val="19"/>
              </w:rPr>
              <w:t>=(</w:t>
            </w:r>
            <w:proofErr w:type="gramEnd"/>
            <w:r>
              <w:rPr>
                <w:color w:val="0000AA"/>
                <w:sz w:val="19"/>
                <w:szCs w:val="19"/>
              </w:rPr>
              <w:t xml:space="preserve">Cash + AR + Inventory) / (AP + </w:t>
            </w:r>
            <w:proofErr w:type="spellStart"/>
            <w:r>
              <w:rPr>
                <w:color w:val="0000AA"/>
                <w:sz w:val="19"/>
                <w:szCs w:val="19"/>
              </w:rPr>
              <w:t>ST_Debt</w:t>
            </w:r>
            <w:proofErr w:type="spellEnd"/>
            <w:r>
              <w:rPr>
                <w:color w:val="0000AA"/>
                <w:sz w:val="19"/>
                <w:szCs w:val="19"/>
              </w:rPr>
              <w:t>)</w:t>
            </w:r>
          </w:p>
        </w:tc>
      </w:tr>
      <w:tr w14:paraId="28CED39B" w14:textId="77777777">
        <w:tblPrEx>
          <w:tblCellMar>
            <w:top w:w="0" w:type="dxa"/>
            <w:bottom w:w="0" w:type="dxa"/>
          </w:tblCellMar>
        </w:tblPrEx>
        <w:tc>
          <w:tcPr>
            <w:tcW w:w="28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80" w:type="dxa"/>
            </w:tcMar>
            <w:vAlign w:val="center"/>
          </w:tcPr>
          <w:p w14:paraId="28CED398" w14:textId="77777777">
            <w:r>
              <w:rPr>
                <w:b/>
                <w:bCs/>
                <w:color w:val="1E2761"/>
                <w:sz w:val="21"/>
                <w:szCs w:val="21"/>
              </w:rPr>
              <w:t>Interest Coverage</w:t>
            </w:r>
          </w:p>
        </w:tc>
        <w:tc>
          <w:tcPr>
            <w:tcW w:w="24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120" w:type="dxa"/>
              <w:bottom w:w="80" w:type="dxa"/>
              <w:right w:w="80" w:type="dxa"/>
            </w:tcMar>
            <w:vAlign w:val="center"/>
          </w:tcPr>
          <w:p w14:paraId="28CED399" w14:textId="77777777">
            <w:pPr>
              <w:jc w:val="center"/>
            </w:pPr>
            <w:r>
              <w:rPr>
                <w:b/>
                <w:bCs/>
                <w:color w:val="C9A84C"/>
                <w:sz w:val="21"/>
                <w:szCs w:val="21"/>
              </w:rPr>
              <w:t>EBIT / Interest Expense</w:t>
            </w:r>
          </w:p>
        </w:tc>
        <w:tc>
          <w:tcPr>
            <w:tcW w:w="4160" w:type="dxa"/>
            <w:tcBorders>
              <w:top w:val="single" w:sz="4" w:space="0" w:color="CADCFC"/>
              <w:left w:val="single" w:sz="4" w:space="0" w:color="CADCFC"/>
              <w:bottom w:val="single" w:sz="4" w:space="0" w:color="CADCFC"/>
              <w:right w:val="single" w:sz="4" w:space="0" w:color="CADCFC"/>
            </w:tcBorders>
            <w:shd w:val="clear" w:color="auto" w:fill="FFF9E6"/>
            <w:tcMar>
              <w:top w:w="80" w:type="dxa"/>
              <w:left w:w="120" w:type="dxa"/>
              <w:bottom w:w="80" w:type="dxa"/>
              <w:right w:w="120" w:type="dxa"/>
            </w:tcMar>
            <w:vAlign w:val="center"/>
          </w:tcPr>
          <w:p w14:paraId="28CED39A" w14:textId="77777777">
            <w:r>
              <w:rPr>
                <w:color w:val="0000AA"/>
                <w:sz w:val="19"/>
                <w:szCs w:val="19"/>
              </w:rPr>
              <w:t>=</w:t>
            </w:r>
            <w:proofErr w:type="spellStart"/>
            <w:r>
              <w:rPr>
                <w:color w:val="0000AA"/>
                <w:sz w:val="19"/>
                <w:szCs w:val="19"/>
              </w:rPr>
              <w:t>EBIT_cell</w:t>
            </w:r>
            <w:proofErr w:type="spellEnd"/>
            <w:r>
              <w:rPr>
                <w:color w:val="0000AA"/>
                <w:sz w:val="19"/>
                <w:szCs w:val="19"/>
              </w:rPr>
              <w:t xml:space="preserve"> / </w:t>
            </w:r>
            <w:proofErr w:type="spellStart"/>
            <w:r>
              <w:rPr>
                <w:color w:val="0000AA"/>
                <w:sz w:val="19"/>
                <w:szCs w:val="19"/>
              </w:rPr>
              <w:t>Interest_cell</w:t>
            </w:r>
            <w:proofErr w:type="spellEnd"/>
          </w:p>
        </w:tc>
      </w:tr>
      <w:tr w14:paraId="28CED39F" w14:textId="77777777">
        <w:tblPrEx>
          <w:tblCellMar>
            <w:top w:w="0" w:type="dxa"/>
            <w:bottom w:w="0" w:type="dxa"/>
          </w:tblCellMar>
        </w:tblPrEx>
        <w:tc>
          <w:tcPr>
            <w:tcW w:w="28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80" w:type="dxa"/>
            </w:tcMar>
            <w:vAlign w:val="center"/>
          </w:tcPr>
          <w:p w14:paraId="28CED39C" w14:textId="77777777">
            <w:r>
              <w:rPr>
                <w:b/>
                <w:bCs/>
                <w:color w:val="1E2761"/>
                <w:sz w:val="21"/>
                <w:szCs w:val="21"/>
              </w:rPr>
              <w:t>Return on Equity (ROE)</w:t>
            </w:r>
          </w:p>
        </w:tc>
        <w:tc>
          <w:tcPr>
            <w:tcW w:w="24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120" w:type="dxa"/>
              <w:bottom w:w="80" w:type="dxa"/>
              <w:right w:w="80" w:type="dxa"/>
            </w:tcMar>
            <w:vAlign w:val="center"/>
          </w:tcPr>
          <w:p w14:paraId="28CED39D" w14:textId="77777777">
            <w:pPr>
              <w:jc w:val="center"/>
            </w:pPr>
            <w:r>
              <w:rPr>
                <w:b/>
                <w:bCs/>
                <w:color w:val="C9A84C"/>
                <w:sz w:val="21"/>
                <w:szCs w:val="21"/>
              </w:rPr>
              <w:t>Net Income / Shareholders' Equity</w:t>
            </w:r>
          </w:p>
        </w:tc>
        <w:tc>
          <w:tcPr>
            <w:tcW w:w="4160" w:type="dxa"/>
            <w:tcBorders>
              <w:top w:val="single" w:sz="4" w:space="0" w:color="CADCFC"/>
              <w:left w:val="single" w:sz="4" w:space="0" w:color="CADCFC"/>
              <w:bottom w:val="single" w:sz="4" w:space="0" w:color="CADCFC"/>
              <w:right w:val="single" w:sz="4" w:space="0" w:color="CADCFC"/>
            </w:tcBorders>
            <w:shd w:val="clear" w:color="auto" w:fill="FFFEF7"/>
            <w:tcMar>
              <w:top w:w="80" w:type="dxa"/>
              <w:left w:w="120" w:type="dxa"/>
              <w:bottom w:w="80" w:type="dxa"/>
              <w:right w:w="120" w:type="dxa"/>
            </w:tcMar>
            <w:vAlign w:val="center"/>
          </w:tcPr>
          <w:p w14:paraId="28CED39E" w14:textId="77777777">
            <w:r>
              <w:rPr>
                <w:color w:val="0000AA"/>
                <w:sz w:val="19"/>
                <w:szCs w:val="19"/>
              </w:rPr>
              <w:t>=</w:t>
            </w:r>
            <w:proofErr w:type="spellStart"/>
            <w:r>
              <w:rPr>
                <w:color w:val="0000AA"/>
                <w:sz w:val="19"/>
                <w:szCs w:val="19"/>
              </w:rPr>
              <w:t>Net_Income_cell</w:t>
            </w:r>
            <w:proofErr w:type="spellEnd"/>
            <w:r>
              <w:rPr>
                <w:color w:val="0000AA"/>
                <w:sz w:val="19"/>
                <w:szCs w:val="19"/>
              </w:rPr>
              <w:t xml:space="preserve"> / </w:t>
            </w:r>
            <w:proofErr w:type="spellStart"/>
            <w:r>
              <w:rPr>
                <w:color w:val="0000AA"/>
                <w:sz w:val="19"/>
                <w:szCs w:val="19"/>
              </w:rPr>
              <w:t>Equity_cell</w:t>
            </w:r>
            <w:proofErr w:type="spellEnd"/>
          </w:p>
        </w:tc>
      </w:tr>
      <w:tr w14:paraId="28CED3A3" w14:textId="77777777">
        <w:tblPrEx>
          <w:tblCellMar>
            <w:top w:w="0" w:type="dxa"/>
            <w:bottom w:w="0" w:type="dxa"/>
          </w:tblCellMar>
        </w:tblPrEx>
        <w:tc>
          <w:tcPr>
            <w:tcW w:w="28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80" w:type="dxa"/>
            </w:tcMar>
            <w:vAlign w:val="center"/>
          </w:tcPr>
          <w:p w14:paraId="28CED3A0" w14:textId="77777777">
            <w:r>
              <w:rPr>
                <w:b/>
                <w:bCs/>
                <w:color w:val="1E2761"/>
                <w:sz w:val="21"/>
                <w:szCs w:val="21"/>
              </w:rPr>
              <w:t>Debt Ratio</w:t>
            </w:r>
          </w:p>
        </w:tc>
        <w:tc>
          <w:tcPr>
            <w:tcW w:w="24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120" w:type="dxa"/>
              <w:bottom w:w="80" w:type="dxa"/>
              <w:right w:w="80" w:type="dxa"/>
            </w:tcMar>
            <w:vAlign w:val="center"/>
          </w:tcPr>
          <w:p w14:paraId="28CED3A1" w14:textId="77777777">
            <w:pPr>
              <w:jc w:val="center"/>
            </w:pPr>
            <w:r>
              <w:rPr>
                <w:b/>
                <w:bCs/>
                <w:color w:val="C9A84C"/>
                <w:sz w:val="21"/>
                <w:szCs w:val="21"/>
              </w:rPr>
              <w:t>Total Liabilities / Total Assets</w:t>
            </w:r>
          </w:p>
        </w:tc>
        <w:tc>
          <w:tcPr>
            <w:tcW w:w="4160" w:type="dxa"/>
            <w:tcBorders>
              <w:top w:val="single" w:sz="4" w:space="0" w:color="CADCFC"/>
              <w:left w:val="single" w:sz="4" w:space="0" w:color="CADCFC"/>
              <w:bottom w:val="single" w:sz="4" w:space="0" w:color="CADCFC"/>
              <w:right w:val="single" w:sz="4" w:space="0" w:color="CADCFC"/>
            </w:tcBorders>
            <w:shd w:val="clear" w:color="auto" w:fill="FFF9E6"/>
            <w:tcMar>
              <w:top w:w="80" w:type="dxa"/>
              <w:left w:w="120" w:type="dxa"/>
              <w:bottom w:w="80" w:type="dxa"/>
              <w:right w:w="120" w:type="dxa"/>
            </w:tcMar>
            <w:vAlign w:val="center"/>
          </w:tcPr>
          <w:p w14:paraId="28CED3A2" w14:textId="77777777">
            <w:r>
              <w:rPr>
                <w:color w:val="0000AA"/>
                <w:sz w:val="19"/>
                <w:szCs w:val="19"/>
              </w:rPr>
              <w:t>=</w:t>
            </w:r>
            <w:proofErr w:type="spellStart"/>
            <w:r>
              <w:rPr>
                <w:color w:val="0000AA"/>
                <w:sz w:val="19"/>
                <w:szCs w:val="19"/>
              </w:rPr>
              <w:t>Total_Liabilities</w:t>
            </w:r>
            <w:proofErr w:type="spellEnd"/>
            <w:r>
              <w:rPr>
                <w:color w:val="0000AA"/>
                <w:sz w:val="19"/>
                <w:szCs w:val="19"/>
              </w:rPr>
              <w:t xml:space="preserve"> / </w:t>
            </w:r>
            <w:proofErr w:type="spellStart"/>
            <w:r>
              <w:rPr>
                <w:color w:val="0000AA"/>
                <w:sz w:val="19"/>
                <w:szCs w:val="19"/>
              </w:rPr>
              <w:t>Total_Assets</w:t>
            </w:r>
            <w:proofErr w:type="spellEnd"/>
          </w:p>
        </w:tc>
      </w:tr>
      <w:tr w14:paraId="28CED3A7" w14:textId="77777777">
        <w:tblPrEx>
          <w:tblCellMar>
            <w:top w:w="0" w:type="dxa"/>
            <w:bottom w:w="0" w:type="dxa"/>
          </w:tblCellMar>
        </w:tblPrEx>
        <w:tc>
          <w:tcPr>
            <w:tcW w:w="28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80" w:type="dxa"/>
            </w:tcMar>
            <w:vAlign w:val="center"/>
          </w:tcPr>
          <w:p w14:paraId="28CED3A4" w14:textId="77777777">
            <w:r>
              <w:rPr>
                <w:b/>
                <w:bCs/>
                <w:color w:val="1E2761"/>
                <w:sz w:val="21"/>
                <w:szCs w:val="21"/>
              </w:rPr>
              <w:lastRenderedPageBreak/>
              <w:t>Net Profit Margin</w:t>
            </w:r>
          </w:p>
        </w:tc>
        <w:tc>
          <w:tcPr>
            <w:tcW w:w="24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120" w:type="dxa"/>
              <w:bottom w:w="80" w:type="dxa"/>
              <w:right w:w="80" w:type="dxa"/>
            </w:tcMar>
            <w:vAlign w:val="center"/>
          </w:tcPr>
          <w:p w14:paraId="28CED3A5" w14:textId="77777777">
            <w:pPr>
              <w:jc w:val="center"/>
            </w:pPr>
            <w:r>
              <w:rPr>
                <w:b/>
                <w:bCs/>
                <w:color w:val="C9A84C"/>
                <w:sz w:val="21"/>
                <w:szCs w:val="21"/>
              </w:rPr>
              <w:t>Net Income / Revenue</w:t>
            </w:r>
          </w:p>
        </w:tc>
        <w:tc>
          <w:tcPr>
            <w:tcW w:w="4160" w:type="dxa"/>
            <w:tcBorders>
              <w:top w:val="single" w:sz="4" w:space="0" w:color="CADCFC"/>
              <w:left w:val="single" w:sz="4" w:space="0" w:color="CADCFC"/>
              <w:bottom w:val="single" w:sz="4" w:space="0" w:color="CADCFC"/>
              <w:right w:val="single" w:sz="4" w:space="0" w:color="CADCFC"/>
            </w:tcBorders>
            <w:shd w:val="clear" w:color="auto" w:fill="FFFEF7"/>
            <w:tcMar>
              <w:top w:w="80" w:type="dxa"/>
              <w:left w:w="120" w:type="dxa"/>
              <w:bottom w:w="80" w:type="dxa"/>
              <w:right w:w="120" w:type="dxa"/>
            </w:tcMar>
            <w:vAlign w:val="center"/>
          </w:tcPr>
          <w:p w14:paraId="28CED3A6" w14:textId="77777777">
            <w:r>
              <w:rPr>
                <w:color w:val="0000AA"/>
                <w:sz w:val="19"/>
                <w:szCs w:val="19"/>
              </w:rPr>
              <w:t>=</w:t>
            </w:r>
            <w:proofErr w:type="spellStart"/>
            <w:r>
              <w:rPr>
                <w:color w:val="0000AA"/>
                <w:sz w:val="19"/>
                <w:szCs w:val="19"/>
              </w:rPr>
              <w:t>Net_Income</w:t>
            </w:r>
            <w:proofErr w:type="spellEnd"/>
            <w:r>
              <w:rPr>
                <w:color w:val="0000AA"/>
                <w:sz w:val="19"/>
                <w:szCs w:val="19"/>
              </w:rPr>
              <w:t xml:space="preserve"> / Revenue</w:t>
            </w:r>
          </w:p>
        </w:tc>
      </w:tr>
    </w:tbl>
    <w:p w14:paraId="28CED3A8" w14:textId="77777777">
      <w:pPr>
        <w:spacing w:before="160"/>
      </w:pPr>
    </w:p>
    <w:p w14:paraId="28CED3A9" w14:textId="77777777">
      <w:pPr>
        <w:pBdr>
          <w:bottom w:val="single" w:sz="6" w:space="4" w:color="C9A84C"/>
        </w:pBdr>
        <w:spacing w:before="300" w:after="120"/>
      </w:pPr>
      <w:r>
        <w:rPr>
          <w:rFonts w:ascii="Georgia" w:eastAsia="Georgia" w:hAnsi="Georgia" w:cs="Georgia"/>
          <w:b/>
          <w:bCs/>
          <w:color w:val="1E2761"/>
          <w:sz w:val="28"/>
          <w:szCs w:val="28"/>
        </w:rPr>
        <w:t>Section 5 — Excel Color Code Guide</w:t>
      </w:r>
    </w:p>
    <w:p w14:paraId="28CED3AA" w14:textId="7777777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14:paraId="28CED3AE" w14:textId="77777777">
        <w:tblPrEx>
          <w:tblCellMar>
            <w:top w:w="0" w:type="dxa"/>
            <w:bottom w:w="0" w:type="dxa"/>
          </w:tblCellMar>
        </w:tblPrEx>
        <w:trPr>
          <w:tblHeader/>
        </w:trPr>
        <w:tc>
          <w:tcPr>
            <w:tcW w:w="2200" w:type="dxa"/>
            <w:tcBorders>
              <w:top w:val="single" w:sz="4" w:space="0" w:color="C9A84C"/>
              <w:left w:val="single" w:sz="4" w:space="0" w:color="C9A84C"/>
              <w:bottom w:val="single" w:sz="4" w:space="0" w:color="C9A84C"/>
              <w:right w:val="single" w:sz="4" w:space="0" w:color="C9A84C"/>
            </w:tcBorders>
            <w:shd w:val="clear" w:color="auto" w:fill="1E2761"/>
            <w:tcMar>
              <w:top w:w="100" w:type="dxa"/>
              <w:left w:w="120" w:type="dxa"/>
              <w:bottom w:w="100" w:type="dxa"/>
              <w:right w:w="120" w:type="dxa"/>
            </w:tcMar>
            <w:vAlign w:val="center"/>
          </w:tcPr>
          <w:p w14:paraId="28CED3AB" w14:textId="77777777">
            <w:pPr>
              <w:jc w:val="center"/>
            </w:pPr>
            <w:r>
              <w:rPr>
                <w:b/>
                <w:bCs/>
                <w:color w:val="FFFFFF"/>
                <w:sz w:val="20"/>
                <w:szCs w:val="20"/>
              </w:rPr>
              <w:t>Color / Style</w:t>
            </w:r>
          </w:p>
        </w:tc>
        <w:tc>
          <w:tcPr>
            <w:tcW w:w="3200" w:type="dxa"/>
            <w:tcBorders>
              <w:top w:val="single" w:sz="4" w:space="0" w:color="C9A84C"/>
              <w:left w:val="single" w:sz="4" w:space="0" w:color="C9A84C"/>
              <w:bottom w:val="single" w:sz="4" w:space="0" w:color="C9A84C"/>
              <w:right w:val="single" w:sz="4" w:space="0" w:color="C9A84C"/>
            </w:tcBorders>
            <w:shd w:val="clear" w:color="auto" w:fill="1E2761"/>
            <w:tcMar>
              <w:top w:w="100" w:type="dxa"/>
              <w:left w:w="120" w:type="dxa"/>
              <w:bottom w:w="100" w:type="dxa"/>
              <w:right w:w="120" w:type="dxa"/>
            </w:tcMar>
            <w:vAlign w:val="center"/>
          </w:tcPr>
          <w:p w14:paraId="28CED3AC" w14:textId="77777777">
            <w:pPr>
              <w:jc w:val="center"/>
            </w:pPr>
            <w:r>
              <w:rPr>
                <w:b/>
                <w:bCs/>
                <w:color w:val="FFFFFF"/>
                <w:sz w:val="20"/>
                <w:szCs w:val="20"/>
              </w:rPr>
              <w:t>Meaning</w:t>
            </w:r>
          </w:p>
        </w:tc>
        <w:tc>
          <w:tcPr>
            <w:tcW w:w="3960" w:type="dxa"/>
            <w:tcBorders>
              <w:top w:val="single" w:sz="4" w:space="0" w:color="C9A84C"/>
              <w:left w:val="single" w:sz="4" w:space="0" w:color="C9A84C"/>
              <w:bottom w:val="single" w:sz="4" w:space="0" w:color="C9A84C"/>
              <w:right w:val="single" w:sz="4" w:space="0" w:color="C9A84C"/>
            </w:tcBorders>
            <w:shd w:val="clear" w:color="auto" w:fill="1E2761"/>
            <w:tcMar>
              <w:top w:w="100" w:type="dxa"/>
              <w:left w:w="120" w:type="dxa"/>
              <w:bottom w:w="100" w:type="dxa"/>
              <w:right w:w="120" w:type="dxa"/>
            </w:tcMar>
            <w:vAlign w:val="center"/>
          </w:tcPr>
          <w:p w14:paraId="28CED3AD" w14:textId="77777777">
            <w:pPr>
              <w:jc w:val="center"/>
            </w:pPr>
            <w:r>
              <w:rPr>
                <w:b/>
                <w:bCs/>
                <w:color w:val="FFFFFF"/>
                <w:sz w:val="20"/>
                <w:szCs w:val="20"/>
              </w:rPr>
              <w:t>What You Should Do</w:t>
            </w:r>
          </w:p>
        </w:tc>
      </w:tr>
      <w:tr w14:paraId="28CED3B2" w14:textId="77777777">
        <w:tblPrEx>
          <w:tblCellMar>
            <w:top w:w="0" w:type="dxa"/>
            <w:bottom w:w="0" w:type="dxa"/>
          </w:tblCellMar>
        </w:tblPrEx>
        <w:tc>
          <w:tcPr>
            <w:tcW w:w="2200" w:type="dxa"/>
            <w:tcBorders>
              <w:top w:val="single" w:sz="4" w:space="0" w:color="CADCFC"/>
              <w:left w:val="single" w:sz="4" w:space="0" w:color="CADCFC"/>
              <w:bottom w:val="single" w:sz="4" w:space="0" w:color="CADCFC"/>
              <w:right w:val="single" w:sz="4" w:space="0" w:color="CADCFC"/>
            </w:tcBorders>
            <w:shd w:val="clear" w:color="auto" w:fill="FFF9E6"/>
            <w:tcMar>
              <w:top w:w="100" w:type="dxa"/>
              <w:left w:w="120" w:type="dxa"/>
              <w:bottom w:w="100" w:type="dxa"/>
              <w:right w:w="80" w:type="dxa"/>
            </w:tcMar>
            <w:vAlign w:val="center"/>
          </w:tcPr>
          <w:p w14:paraId="28CED3AF" w14:textId="77777777">
            <w:pPr>
              <w:jc w:val="center"/>
            </w:pPr>
            <w:r>
              <w:rPr>
                <w:b/>
                <w:bCs/>
                <w:color w:val="0000FF"/>
                <w:sz w:val="21"/>
                <w:szCs w:val="21"/>
              </w:rPr>
              <w:t>Yellow background, blue text</w:t>
            </w:r>
          </w:p>
        </w:tc>
        <w:tc>
          <w:tcPr>
            <w:tcW w:w="3200" w:type="dxa"/>
            <w:tcBorders>
              <w:top w:val="single" w:sz="4" w:space="0" w:color="CADCFC"/>
              <w:left w:val="single" w:sz="4" w:space="0" w:color="CADCFC"/>
              <w:bottom w:val="single" w:sz="4" w:space="0" w:color="CADCFC"/>
              <w:right w:val="single" w:sz="4" w:space="0" w:color="CADCFC"/>
            </w:tcBorders>
            <w:shd w:val="clear" w:color="auto" w:fill="F4F6FB"/>
            <w:tcMar>
              <w:top w:w="100" w:type="dxa"/>
              <w:left w:w="120" w:type="dxa"/>
              <w:bottom w:w="100" w:type="dxa"/>
              <w:right w:w="80" w:type="dxa"/>
            </w:tcMar>
            <w:vAlign w:val="center"/>
          </w:tcPr>
          <w:p w14:paraId="28CED3B0" w14:textId="77777777">
            <w:r>
              <w:rPr>
                <w:color w:val="1E293B"/>
                <w:sz w:val="21"/>
                <w:szCs w:val="21"/>
              </w:rPr>
              <w:t>Student input cell — build your Excel formula here. Never type a hardcoded number.</w:t>
            </w:r>
          </w:p>
        </w:tc>
        <w:tc>
          <w:tcPr>
            <w:tcW w:w="3960" w:type="dxa"/>
            <w:tcBorders>
              <w:top w:val="single" w:sz="4" w:space="0" w:color="CADCFC"/>
              <w:left w:val="single" w:sz="4" w:space="0" w:color="CADCFC"/>
              <w:bottom w:val="single" w:sz="4" w:space="0" w:color="CADCFC"/>
              <w:right w:val="single" w:sz="4" w:space="0" w:color="CADCFC"/>
            </w:tcBorders>
            <w:shd w:val="clear" w:color="auto" w:fill="F4F6FB"/>
            <w:tcMar>
              <w:top w:w="100" w:type="dxa"/>
              <w:left w:w="120" w:type="dxa"/>
              <w:bottom w:w="100" w:type="dxa"/>
              <w:right w:w="120" w:type="dxa"/>
            </w:tcMar>
            <w:vAlign w:val="center"/>
          </w:tcPr>
          <w:p w14:paraId="28CED3B1" w14:textId="77777777">
            <w:r>
              <w:rPr>
                <w:b/>
                <w:bCs/>
                <w:color w:val="0000FF"/>
                <w:sz w:val="21"/>
                <w:szCs w:val="21"/>
              </w:rPr>
              <w:t>Let Excel calculate — check the result makes logical sense.</w:t>
            </w:r>
          </w:p>
        </w:tc>
      </w:tr>
      <w:tr w14:paraId="28CED3B6" w14:textId="77777777">
        <w:tblPrEx>
          <w:tblCellMar>
            <w:top w:w="0" w:type="dxa"/>
            <w:bottom w:w="0" w:type="dxa"/>
          </w:tblCellMar>
        </w:tblPrEx>
        <w:tc>
          <w:tcPr>
            <w:tcW w:w="2200" w:type="dxa"/>
            <w:tcBorders>
              <w:top w:val="single" w:sz="4" w:space="0" w:color="CADCFC"/>
              <w:left w:val="single" w:sz="4" w:space="0" w:color="CADCFC"/>
              <w:bottom w:val="single" w:sz="4" w:space="0" w:color="CADCFC"/>
              <w:right w:val="single" w:sz="4" w:space="0" w:color="CADCFC"/>
            </w:tcBorders>
            <w:shd w:val="clear" w:color="auto" w:fill="FFFFFF"/>
            <w:tcMar>
              <w:top w:w="100" w:type="dxa"/>
              <w:left w:w="120" w:type="dxa"/>
              <w:bottom w:w="100" w:type="dxa"/>
              <w:right w:w="80" w:type="dxa"/>
            </w:tcMar>
            <w:vAlign w:val="center"/>
          </w:tcPr>
          <w:p w14:paraId="28CED3B3" w14:textId="77777777">
            <w:pPr>
              <w:jc w:val="center"/>
            </w:pPr>
            <w:r>
              <w:rPr>
                <w:b/>
                <w:bCs/>
                <w:color w:val="000000"/>
                <w:sz w:val="21"/>
                <w:szCs w:val="21"/>
              </w:rPr>
              <w:t>White background, black text</w:t>
            </w:r>
          </w:p>
        </w:tc>
        <w:tc>
          <w:tcPr>
            <w:tcW w:w="3200" w:type="dxa"/>
            <w:tcBorders>
              <w:top w:val="single" w:sz="4" w:space="0" w:color="CADCFC"/>
              <w:left w:val="single" w:sz="4" w:space="0" w:color="CADCFC"/>
              <w:bottom w:val="single" w:sz="4" w:space="0" w:color="CADCFC"/>
              <w:right w:val="single" w:sz="4" w:space="0" w:color="CADCFC"/>
            </w:tcBorders>
            <w:shd w:val="clear" w:color="auto" w:fill="FFFFFF"/>
            <w:tcMar>
              <w:top w:w="100" w:type="dxa"/>
              <w:left w:w="120" w:type="dxa"/>
              <w:bottom w:w="100" w:type="dxa"/>
              <w:right w:w="80" w:type="dxa"/>
            </w:tcMar>
            <w:vAlign w:val="center"/>
          </w:tcPr>
          <w:p w14:paraId="28CED3B4" w14:textId="77777777">
            <w:r>
              <w:rPr>
                <w:color w:val="1E293B"/>
                <w:sz w:val="21"/>
                <w:szCs w:val="21"/>
              </w:rPr>
              <w:t>Provided data — given to you by the instructor. Do not overwrite these cells.</w:t>
            </w:r>
          </w:p>
        </w:tc>
        <w:tc>
          <w:tcPr>
            <w:tcW w:w="3960" w:type="dxa"/>
            <w:tcBorders>
              <w:top w:val="single" w:sz="4" w:space="0" w:color="CADCFC"/>
              <w:left w:val="single" w:sz="4" w:space="0" w:color="CADCFC"/>
              <w:bottom w:val="single" w:sz="4" w:space="0" w:color="CADCFC"/>
              <w:right w:val="single" w:sz="4" w:space="0" w:color="CADCFC"/>
            </w:tcBorders>
            <w:shd w:val="clear" w:color="auto" w:fill="FFFFFF"/>
            <w:tcMar>
              <w:top w:w="100" w:type="dxa"/>
              <w:left w:w="120" w:type="dxa"/>
              <w:bottom w:w="100" w:type="dxa"/>
              <w:right w:w="120" w:type="dxa"/>
            </w:tcMar>
            <w:vAlign w:val="center"/>
          </w:tcPr>
          <w:p w14:paraId="28CED3B5" w14:textId="77777777">
            <w:r>
              <w:rPr>
                <w:b/>
                <w:bCs/>
                <w:color w:val="166534"/>
                <w:sz w:val="21"/>
                <w:szCs w:val="21"/>
              </w:rPr>
              <w:t>Reference these cells in your own formulas using = cell references.</w:t>
            </w:r>
          </w:p>
        </w:tc>
      </w:tr>
      <w:tr w14:paraId="28CED3BA" w14:textId="77777777">
        <w:tblPrEx>
          <w:tblCellMar>
            <w:top w:w="0" w:type="dxa"/>
            <w:bottom w:w="0" w:type="dxa"/>
          </w:tblCellMar>
        </w:tblPrEx>
        <w:tc>
          <w:tcPr>
            <w:tcW w:w="2200" w:type="dxa"/>
            <w:tcBorders>
              <w:top w:val="single" w:sz="4" w:space="0" w:color="CADCFC"/>
              <w:left w:val="single" w:sz="4" w:space="0" w:color="CADCFC"/>
              <w:bottom w:val="single" w:sz="4" w:space="0" w:color="CADCFC"/>
              <w:right w:val="single" w:sz="4" w:space="0" w:color="CADCFC"/>
            </w:tcBorders>
            <w:shd w:val="clear" w:color="auto" w:fill="F8FAFF"/>
            <w:tcMar>
              <w:top w:w="100" w:type="dxa"/>
              <w:left w:w="120" w:type="dxa"/>
              <w:bottom w:w="100" w:type="dxa"/>
              <w:right w:w="80" w:type="dxa"/>
            </w:tcMar>
            <w:vAlign w:val="center"/>
          </w:tcPr>
          <w:p w14:paraId="28CED3B7" w14:textId="77777777">
            <w:pPr>
              <w:jc w:val="center"/>
            </w:pPr>
            <w:r>
              <w:rPr>
                <w:b/>
                <w:bCs/>
                <w:color w:val="000000"/>
                <w:sz w:val="21"/>
                <w:szCs w:val="21"/>
              </w:rPr>
              <w:t>Light blue background, black text</w:t>
            </w:r>
          </w:p>
        </w:tc>
        <w:tc>
          <w:tcPr>
            <w:tcW w:w="3200" w:type="dxa"/>
            <w:tcBorders>
              <w:top w:val="single" w:sz="4" w:space="0" w:color="CADCFC"/>
              <w:left w:val="single" w:sz="4" w:space="0" w:color="CADCFC"/>
              <w:bottom w:val="single" w:sz="4" w:space="0" w:color="CADCFC"/>
              <w:right w:val="single" w:sz="4" w:space="0" w:color="CADCFC"/>
            </w:tcBorders>
            <w:shd w:val="clear" w:color="auto" w:fill="F4F6FB"/>
            <w:tcMar>
              <w:top w:w="100" w:type="dxa"/>
              <w:left w:w="120" w:type="dxa"/>
              <w:bottom w:w="100" w:type="dxa"/>
              <w:right w:w="80" w:type="dxa"/>
            </w:tcMar>
            <w:vAlign w:val="center"/>
          </w:tcPr>
          <w:p w14:paraId="28CED3B8" w14:textId="77777777">
            <w:r>
              <w:rPr>
                <w:color w:val="1E293B"/>
                <w:sz w:val="21"/>
                <w:szCs w:val="21"/>
              </w:rPr>
              <w:t>Formula result — the cell will auto-calculate once you complete the inputs above it.</w:t>
            </w:r>
          </w:p>
        </w:tc>
        <w:tc>
          <w:tcPr>
            <w:tcW w:w="3960" w:type="dxa"/>
            <w:tcBorders>
              <w:top w:val="single" w:sz="4" w:space="0" w:color="CADCFC"/>
              <w:left w:val="single" w:sz="4" w:space="0" w:color="CADCFC"/>
              <w:bottom w:val="single" w:sz="4" w:space="0" w:color="CADCFC"/>
              <w:right w:val="single" w:sz="4" w:space="0" w:color="CADCFC"/>
            </w:tcBorders>
            <w:shd w:val="clear" w:color="auto" w:fill="F4F6FB"/>
            <w:tcMar>
              <w:top w:w="100" w:type="dxa"/>
              <w:left w:w="120" w:type="dxa"/>
              <w:bottom w:w="100" w:type="dxa"/>
              <w:right w:w="120" w:type="dxa"/>
            </w:tcMar>
            <w:vAlign w:val="center"/>
          </w:tcPr>
          <w:p w14:paraId="28CED3B9" w14:textId="77777777">
            <w:r>
              <w:rPr>
                <w:b/>
                <w:bCs/>
                <w:color w:val="1D4ED8"/>
                <w:sz w:val="21"/>
                <w:szCs w:val="21"/>
              </w:rPr>
              <w:t>Your formula goes here — use = and reference other cells.</w:t>
            </w:r>
          </w:p>
        </w:tc>
      </w:tr>
      <w:tr w14:paraId="28CED3BE" w14:textId="77777777">
        <w:tblPrEx>
          <w:tblCellMar>
            <w:top w:w="0" w:type="dxa"/>
            <w:bottom w:w="0" w:type="dxa"/>
          </w:tblCellMar>
        </w:tblPrEx>
        <w:tc>
          <w:tcPr>
            <w:tcW w:w="2200" w:type="dxa"/>
            <w:tcBorders>
              <w:top w:val="single" w:sz="4" w:space="0" w:color="CADCFC"/>
              <w:left w:val="single" w:sz="4" w:space="0" w:color="CADCFC"/>
              <w:bottom w:val="single" w:sz="4" w:space="0" w:color="CADCFC"/>
              <w:right w:val="single" w:sz="4" w:space="0" w:color="CADCFC"/>
            </w:tcBorders>
            <w:shd w:val="clear" w:color="auto" w:fill="FFFBEB"/>
            <w:tcMar>
              <w:top w:w="100" w:type="dxa"/>
              <w:left w:w="120" w:type="dxa"/>
              <w:bottom w:w="100" w:type="dxa"/>
              <w:right w:w="80" w:type="dxa"/>
            </w:tcMar>
            <w:vAlign w:val="center"/>
          </w:tcPr>
          <w:p w14:paraId="28CED3BB" w14:textId="77777777">
            <w:pPr>
              <w:jc w:val="center"/>
            </w:pPr>
            <w:r>
              <w:rPr>
                <w:b/>
                <w:bCs/>
                <w:color w:val="92400E"/>
                <w:sz w:val="21"/>
                <w:szCs w:val="21"/>
              </w:rPr>
              <w:t>Light yellow background, brown italic</w:t>
            </w:r>
          </w:p>
        </w:tc>
        <w:tc>
          <w:tcPr>
            <w:tcW w:w="3200" w:type="dxa"/>
            <w:tcBorders>
              <w:top w:val="single" w:sz="4" w:space="0" w:color="CADCFC"/>
              <w:left w:val="single" w:sz="4" w:space="0" w:color="CADCFC"/>
              <w:bottom w:val="single" w:sz="4" w:space="0" w:color="CADCFC"/>
              <w:right w:val="single" w:sz="4" w:space="0" w:color="CADCFC"/>
            </w:tcBorders>
            <w:shd w:val="clear" w:color="auto" w:fill="FFFFFF"/>
            <w:tcMar>
              <w:top w:w="100" w:type="dxa"/>
              <w:left w:w="120" w:type="dxa"/>
              <w:bottom w:w="100" w:type="dxa"/>
              <w:right w:w="80" w:type="dxa"/>
            </w:tcMar>
            <w:vAlign w:val="center"/>
          </w:tcPr>
          <w:p w14:paraId="28CED3BC" w14:textId="77777777">
            <w:r>
              <w:rPr>
                <w:color w:val="1E293B"/>
                <w:sz w:val="21"/>
                <w:szCs w:val="21"/>
              </w:rPr>
              <w:t>Hint or tip — guidance text to help you build the correct formula.</w:t>
            </w:r>
          </w:p>
        </w:tc>
        <w:tc>
          <w:tcPr>
            <w:tcW w:w="3960" w:type="dxa"/>
            <w:tcBorders>
              <w:top w:val="single" w:sz="4" w:space="0" w:color="CADCFC"/>
              <w:left w:val="single" w:sz="4" w:space="0" w:color="CADCFC"/>
              <w:bottom w:val="single" w:sz="4" w:space="0" w:color="CADCFC"/>
              <w:right w:val="single" w:sz="4" w:space="0" w:color="CADCFC"/>
            </w:tcBorders>
            <w:shd w:val="clear" w:color="auto" w:fill="FFFFFF"/>
            <w:tcMar>
              <w:top w:w="100" w:type="dxa"/>
              <w:left w:w="120" w:type="dxa"/>
              <w:bottom w:w="100" w:type="dxa"/>
              <w:right w:w="120" w:type="dxa"/>
            </w:tcMar>
            <w:vAlign w:val="center"/>
          </w:tcPr>
          <w:p w14:paraId="28CED3BD" w14:textId="77777777">
            <w:r>
              <w:rPr>
                <w:b/>
                <w:bCs/>
                <w:color w:val="92400E"/>
                <w:sz w:val="21"/>
                <w:szCs w:val="21"/>
              </w:rPr>
              <w:t>Let Excel calculate — check the result makes logical sense.</w:t>
            </w:r>
          </w:p>
        </w:tc>
      </w:tr>
    </w:tbl>
    <w:p w14:paraId="28CED3BF" w14:textId="77777777">
      <w:pPr>
        <w:spacing w:before="160"/>
      </w:pPr>
    </w:p>
    <w:p w14:paraId="28CED3C0" w14:textId="77777777">
      <w:pPr>
        <w:pBdr>
          <w:bottom w:val="single" w:sz="6" w:space="4" w:color="C9A84C"/>
        </w:pBdr>
        <w:spacing w:before="300" w:after="120"/>
      </w:pPr>
      <w:r>
        <w:rPr>
          <w:rFonts w:ascii="Georgia" w:eastAsia="Georgia" w:hAnsi="Georgia" w:cs="Georgia"/>
          <w:b/>
          <w:bCs/>
          <w:color w:val="1E2761"/>
          <w:sz w:val="28"/>
          <w:szCs w:val="28"/>
        </w:rPr>
        <w:t>Section 6 — Key Terms Quick Reference</w:t>
      </w:r>
    </w:p>
    <w:p w14:paraId="28CED3C1" w14:textId="7777777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14:paraId="28CED3C4" w14:textId="77777777">
        <w:tblPrEx>
          <w:tblCellMar>
            <w:top w:w="0" w:type="dxa"/>
            <w:bottom w:w="0" w:type="dxa"/>
          </w:tblCellMar>
        </w:tblPrEx>
        <w:trPr>
          <w:tblHeader/>
        </w:trPr>
        <w:tc>
          <w:tcPr>
            <w:tcW w:w="2600" w:type="dxa"/>
            <w:tcBorders>
              <w:top w:val="single" w:sz="4" w:space="0" w:color="C9A84C"/>
              <w:left w:val="single" w:sz="4" w:space="0" w:color="C9A84C"/>
              <w:bottom w:val="single" w:sz="4" w:space="0" w:color="C9A84C"/>
              <w:right w:val="single" w:sz="4" w:space="0" w:color="C9A84C"/>
            </w:tcBorders>
            <w:shd w:val="clear" w:color="auto" w:fill="1E2761"/>
            <w:tcMar>
              <w:top w:w="100" w:type="dxa"/>
              <w:left w:w="120" w:type="dxa"/>
              <w:bottom w:w="100" w:type="dxa"/>
              <w:right w:w="120" w:type="dxa"/>
            </w:tcMar>
            <w:vAlign w:val="center"/>
          </w:tcPr>
          <w:p w14:paraId="28CED3C2" w14:textId="77777777">
            <w:pPr>
              <w:jc w:val="center"/>
            </w:pPr>
            <w:r>
              <w:rPr>
                <w:b/>
                <w:bCs/>
                <w:color w:val="FFFFFF"/>
                <w:sz w:val="20"/>
                <w:szCs w:val="20"/>
              </w:rPr>
              <w:t>Term</w:t>
            </w:r>
          </w:p>
        </w:tc>
        <w:tc>
          <w:tcPr>
            <w:tcW w:w="6760" w:type="dxa"/>
            <w:tcBorders>
              <w:top w:val="single" w:sz="4" w:space="0" w:color="C9A84C"/>
              <w:left w:val="single" w:sz="4" w:space="0" w:color="C9A84C"/>
              <w:bottom w:val="single" w:sz="4" w:space="0" w:color="C9A84C"/>
              <w:right w:val="single" w:sz="4" w:space="0" w:color="C9A84C"/>
            </w:tcBorders>
            <w:shd w:val="clear" w:color="auto" w:fill="1E2761"/>
            <w:tcMar>
              <w:top w:w="100" w:type="dxa"/>
              <w:left w:w="120" w:type="dxa"/>
              <w:bottom w:w="100" w:type="dxa"/>
              <w:right w:w="120" w:type="dxa"/>
            </w:tcMar>
            <w:vAlign w:val="center"/>
          </w:tcPr>
          <w:p w14:paraId="28CED3C3" w14:textId="77777777">
            <w:pPr>
              <w:jc w:val="center"/>
            </w:pPr>
            <w:r>
              <w:rPr>
                <w:b/>
                <w:bCs/>
                <w:color w:val="FFFFFF"/>
                <w:sz w:val="20"/>
                <w:szCs w:val="20"/>
              </w:rPr>
              <w:t>Definition</w:t>
            </w:r>
          </w:p>
        </w:tc>
      </w:tr>
      <w:tr w14:paraId="28CED3C7" w14:textId="77777777">
        <w:tblPrEx>
          <w:tblCellMar>
            <w:top w:w="0" w:type="dxa"/>
            <w:bottom w:w="0" w:type="dxa"/>
          </w:tblCellMar>
        </w:tblPrEx>
        <w:tc>
          <w:tcPr>
            <w:tcW w:w="26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3C5" w14:textId="77777777">
            <w:r>
              <w:rPr>
                <w:b/>
                <w:bCs/>
                <w:color w:val="1E2761"/>
                <w:sz w:val="21"/>
                <w:szCs w:val="21"/>
              </w:rPr>
              <w:t>IPO (Initial Public Offering)</w:t>
            </w:r>
          </w:p>
        </w:tc>
        <w:tc>
          <w:tcPr>
            <w:tcW w:w="67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C6" w14:textId="77777777">
            <w:r>
              <w:rPr>
                <w:color w:val="1E293B"/>
                <w:sz w:val="21"/>
                <w:szCs w:val="21"/>
              </w:rPr>
              <w:t>The first time a private company sells shares to the public on a stock exchange, raising new equity capital.</w:t>
            </w:r>
          </w:p>
        </w:tc>
      </w:tr>
      <w:tr w14:paraId="28CED3CA" w14:textId="77777777">
        <w:tblPrEx>
          <w:tblCellMar>
            <w:top w:w="0" w:type="dxa"/>
            <w:bottom w:w="0" w:type="dxa"/>
          </w:tblCellMar>
        </w:tblPrEx>
        <w:tc>
          <w:tcPr>
            <w:tcW w:w="26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C8" w14:textId="77777777">
            <w:r>
              <w:rPr>
                <w:b/>
                <w:bCs/>
                <w:color w:val="1E2761"/>
                <w:sz w:val="21"/>
                <w:szCs w:val="21"/>
              </w:rPr>
              <w:t>Enterprise Value (EV)</w:t>
            </w:r>
          </w:p>
        </w:tc>
        <w:tc>
          <w:tcPr>
            <w:tcW w:w="6760" w:type="dxa"/>
            <w:tcBorders>
              <w:top w:val="single" w:sz="4" w:space="0" w:color="CADCFC"/>
              <w:left w:val="single" w:sz="4" w:space="0" w:color="CADCFC"/>
              <w:bottom w:val="single" w:sz="4" w:space="0" w:color="CADCFC"/>
              <w:right w:val="single" w:sz="4" w:space="0" w:color="CADCFC"/>
            </w:tcBorders>
            <w:shd w:val="clear" w:color="auto" w:fill="F8FAFF"/>
            <w:tcMar>
              <w:top w:w="80" w:type="dxa"/>
              <w:left w:w="120" w:type="dxa"/>
              <w:bottom w:w="80" w:type="dxa"/>
              <w:right w:w="120" w:type="dxa"/>
            </w:tcMar>
            <w:vAlign w:val="center"/>
          </w:tcPr>
          <w:p w14:paraId="28CED3C9" w14:textId="77777777">
            <w:r>
              <w:rPr>
                <w:color w:val="1E293B"/>
                <w:sz w:val="21"/>
                <w:szCs w:val="21"/>
              </w:rPr>
              <w:t>The total value of a firm — market cap plus net debt. Represents what it would cost to buy the entire company.</w:t>
            </w:r>
          </w:p>
        </w:tc>
      </w:tr>
      <w:tr w14:paraId="28CED3CD" w14:textId="77777777">
        <w:tblPrEx>
          <w:tblCellMar>
            <w:top w:w="0" w:type="dxa"/>
            <w:bottom w:w="0" w:type="dxa"/>
          </w:tblCellMar>
        </w:tblPrEx>
        <w:tc>
          <w:tcPr>
            <w:tcW w:w="26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3CB" w14:textId="77777777">
            <w:r>
              <w:rPr>
                <w:b/>
                <w:bCs/>
                <w:color w:val="1E2761"/>
                <w:sz w:val="21"/>
                <w:szCs w:val="21"/>
              </w:rPr>
              <w:t>Equity Value</w:t>
            </w:r>
          </w:p>
        </w:tc>
        <w:tc>
          <w:tcPr>
            <w:tcW w:w="67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CC" w14:textId="77777777">
            <w:r>
              <w:rPr>
                <w:color w:val="1E293B"/>
                <w:sz w:val="21"/>
                <w:szCs w:val="21"/>
              </w:rPr>
              <w:t>Enterprise Value minus net debt (total debt minus cash). The portion of firm value belonging to equity holders.</w:t>
            </w:r>
          </w:p>
        </w:tc>
      </w:tr>
      <w:tr w14:paraId="28CED3D0" w14:textId="77777777">
        <w:tblPrEx>
          <w:tblCellMar>
            <w:top w:w="0" w:type="dxa"/>
            <w:bottom w:w="0" w:type="dxa"/>
          </w:tblCellMar>
        </w:tblPrEx>
        <w:tc>
          <w:tcPr>
            <w:tcW w:w="26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CE" w14:textId="77777777">
            <w:r>
              <w:rPr>
                <w:b/>
                <w:bCs/>
                <w:color w:val="1E2761"/>
                <w:sz w:val="21"/>
                <w:szCs w:val="21"/>
              </w:rPr>
              <w:t>DDM — Dividend Discount Model</w:t>
            </w:r>
          </w:p>
        </w:tc>
        <w:tc>
          <w:tcPr>
            <w:tcW w:w="6760" w:type="dxa"/>
            <w:tcBorders>
              <w:top w:val="single" w:sz="4" w:space="0" w:color="CADCFC"/>
              <w:left w:val="single" w:sz="4" w:space="0" w:color="CADCFC"/>
              <w:bottom w:val="single" w:sz="4" w:space="0" w:color="CADCFC"/>
              <w:right w:val="single" w:sz="4" w:space="0" w:color="CADCFC"/>
            </w:tcBorders>
            <w:shd w:val="clear" w:color="auto" w:fill="F8FAFF"/>
            <w:tcMar>
              <w:top w:w="80" w:type="dxa"/>
              <w:left w:w="120" w:type="dxa"/>
              <w:bottom w:w="80" w:type="dxa"/>
              <w:right w:w="120" w:type="dxa"/>
            </w:tcMar>
            <w:vAlign w:val="center"/>
          </w:tcPr>
          <w:p w14:paraId="28CED3CF" w14:textId="77777777">
            <w:r>
              <w:rPr>
                <w:color w:val="1E293B"/>
                <w:sz w:val="21"/>
                <w:szCs w:val="21"/>
              </w:rPr>
              <w:t>Values a stock as the present value of all expected future dividends. Best for mature, dividend-paying firms.</w:t>
            </w:r>
          </w:p>
        </w:tc>
      </w:tr>
      <w:tr w14:paraId="28CED3D3" w14:textId="77777777">
        <w:tblPrEx>
          <w:tblCellMar>
            <w:top w:w="0" w:type="dxa"/>
            <w:bottom w:w="0" w:type="dxa"/>
          </w:tblCellMar>
        </w:tblPrEx>
        <w:tc>
          <w:tcPr>
            <w:tcW w:w="26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3D1" w14:textId="77777777">
            <w:r>
              <w:rPr>
                <w:b/>
                <w:bCs/>
                <w:color w:val="1E2761"/>
                <w:sz w:val="21"/>
                <w:szCs w:val="21"/>
              </w:rPr>
              <w:t>Gordon Growth Model</w:t>
            </w:r>
          </w:p>
        </w:tc>
        <w:tc>
          <w:tcPr>
            <w:tcW w:w="67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D2" w14:textId="77777777">
            <w:r>
              <w:rPr>
                <w:color w:val="1E293B"/>
                <w:sz w:val="21"/>
                <w:szCs w:val="21"/>
              </w:rPr>
              <w:t>A simplified DDM assuming dividends grow at a constant rate: P₀ = D₁ / (r – g).</w:t>
            </w:r>
          </w:p>
        </w:tc>
      </w:tr>
      <w:tr w14:paraId="28CED3D6" w14:textId="77777777">
        <w:tblPrEx>
          <w:tblCellMar>
            <w:top w:w="0" w:type="dxa"/>
            <w:bottom w:w="0" w:type="dxa"/>
          </w:tblCellMar>
        </w:tblPrEx>
        <w:tc>
          <w:tcPr>
            <w:tcW w:w="26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D4" w14:textId="77777777">
            <w:r>
              <w:rPr>
                <w:b/>
                <w:bCs/>
                <w:color w:val="1E2761"/>
                <w:sz w:val="21"/>
                <w:szCs w:val="21"/>
              </w:rPr>
              <w:t>WACC</w:t>
            </w:r>
          </w:p>
        </w:tc>
        <w:tc>
          <w:tcPr>
            <w:tcW w:w="6760" w:type="dxa"/>
            <w:tcBorders>
              <w:top w:val="single" w:sz="4" w:space="0" w:color="CADCFC"/>
              <w:left w:val="single" w:sz="4" w:space="0" w:color="CADCFC"/>
              <w:bottom w:val="single" w:sz="4" w:space="0" w:color="CADCFC"/>
              <w:right w:val="single" w:sz="4" w:space="0" w:color="CADCFC"/>
            </w:tcBorders>
            <w:shd w:val="clear" w:color="auto" w:fill="F8FAFF"/>
            <w:tcMar>
              <w:top w:w="80" w:type="dxa"/>
              <w:left w:w="120" w:type="dxa"/>
              <w:bottom w:w="80" w:type="dxa"/>
              <w:right w:w="120" w:type="dxa"/>
            </w:tcMar>
            <w:vAlign w:val="center"/>
          </w:tcPr>
          <w:p w14:paraId="28CED3D5" w14:textId="77777777">
            <w:r>
              <w:rPr>
                <w:color w:val="1E293B"/>
                <w:sz w:val="21"/>
                <w:szCs w:val="21"/>
              </w:rPr>
              <w:t>Weighted Average Cost of Capital — the blended required return for both debt and equity investors. Used as the discount rate in the FCF model.</w:t>
            </w:r>
          </w:p>
        </w:tc>
      </w:tr>
      <w:tr w14:paraId="28CED3D9" w14:textId="77777777">
        <w:tblPrEx>
          <w:tblCellMar>
            <w:top w:w="0" w:type="dxa"/>
            <w:bottom w:w="0" w:type="dxa"/>
          </w:tblCellMar>
        </w:tblPrEx>
        <w:tc>
          <w:tcPr>
            <w:tcW w:w="26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3D7" w14:textId="77777777">
            <w:r>
              <w:rPr>
                <w:b/>
                <w:bCs/>
                <w:color w:val="1E2761"/>
                <w:sz w:val="21"/>
                <w:szCs w:val="21"/>
              </w:rPr>
              <w:t>Free Cash Flow (FCF)</w:t>
            </w:r>
          </w:p>
        </w:tc>
        <w:tc>
          <w:tcPr>
            <w:tcW w:w="67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D8" w14:textId="77777777">
            <w:r>
              <w:rPr>
                <w:color w:val="1E293B"/>
                <w:sz w:val="21"/>
                <w:szCs w:val="21"/>
              </w:rPr>
              <w:t>Cash generated by operations after capital expenditures — available to all investors (both debt and equity holders).</w:t>
            </w:r>
          </w:p>
        </w:tc>
      </w:tr>
      <w:tr w14:paraId="28CED3DC" w14:textId="77777777">
        <w:tblPrEx>
          <w:tblCellMar>
            <w:top w:w="0" w:type="dxa"/>
            <w:bottom w:w="0" w:type="dxa"/>
          </w:tblCellMar>
        </w:tblPrEx>
        <w:tc>
          <w:tcPr>
            <w:tcW w:w="26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DA" w14:textId="77777777">
            <w:r>
              <w:rPr>
                <w:b/>
                <w:bCs/>
                <w:color w:val="1E2761"/>
                <w:sz w:val="21"/>
                <w:szCs w:val="21"/>
              </w:rPr>
              <w:lastRenderedPageBreak/>
              <w:t>Debt-to-Equity Ratio</w:t>
            </w:r>
          </w:p>
        </w:tc>
        <w:tc>
          <w:tcPr>
            <w:tcW w:w="6760" w:type="dxa"/>
            <w:tcBorders>
              <w:top w:val="single" w:sz="4" w:space="0" w:color="CADCFC"/>
              <w:left w:val="single" w:sz="4" w:space="0" w:color="CADCFC"/>
              <w:bottom w:val="single" w:sz="4" w:space="0" w:color="CADCFC"/>
              <w:right w:val="single" w:sz="4" w:space="0" w:color="CADCFC"/>
            </w:tcBorders>
            <w:shd w:val="clear" w:color="auto" w:fill="F8FAFF"/>
            <w:tcMar>
              <w:top w:w="80" w:type="dxa"/>
              <w:left w:w="120" w:type="dxa"/>
              <w:bottom w:w="80" w:type="dxa"/>
              <w:right w:w="120" w:type="dxa"/>
            </w:tcMar>
            <w:vAlign w:val="center"/>
          </w:tcPr>
          <w:p w14:paraId="28CED3DB" w14:textId="77777777">
            <w:r>
              <w:rPr>
                <w:color w:val="1E293B"/>
                <w:sz w:val="21"/>
                <w:szCs w:val="21"/>
              </w:rPr>
              <w:t>Total debt divided by shareholders' equity. Measures financial leverage — higher = more risk for equity holders.</w:t>
            </w:r>
          </w:p>
        </w:tc>
      </w:tr>
      <w:tr w14:paraId="28CED3DF" w14:textId="77777777">
        <w:tblPrEx>
          <w:tblCellMar>
            <w:top w:w="0" w:type="dxa"/>
            <w:bottom w:w="0" w:type="dxa"/>
          </w:tblCellMar>
        </w:tblPrEx>
        <w:tc>
          <w:tcPr>
            <w:tcW w:w="26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3DD" w14:textId="77777777">
            <w:r>
              <w:rPr>
                <w:b/>
                <w:bCs/>
                <w:color w:val="1E2761"/>
                <w:sz w:val="21"/>
                <w:szCs w:val="21"/>
              </w:rPr>
              <w:t>Current Ratio</w:t>
            </w:r>
          </w:p>
        </w:tc>
        <w:tc>
          <w:tcPr>
            <w:tcW w:w="67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DE" w14:textId="77777777">
            <w:r>
              <w:rPr>
                <w:color w:val="1E293B"/>
                <w:sz w:val="21"/>
                <w:szCs w:val="21"/>
              </w:rPr>
              <w:t xml:space="preserve">Current assets </w:t>
            </w:r>
            <w:proofErr w:type="gramStart"/>
            <w:r>
              <w:rPr>
                <w:color w:val="1E293B"/>
                <w:sz w:val="21"/>
                <w:szCs w:val="21"/>
              </w:rPr>
              <w:t>divided</w:t>
            </w:r>
            <w:proofErr w:type="gramEnd"/>
            <w:r>
              <w:rPr>
                <w:color w:val="1E293B"/>
                <w:sz w:val="21"/>
                <w:szCs w:val="21"/>
              </w:rPr>
              <w:t xml:space="preserve"> by current liabilities. A ratio above 1.0 means the company can cover short-term obligations.</w:t>
            </w:r>
          </w:p>
        </w:tc>
      </w:tr>
      <w:tr w14:paraId="28CED3E2" w14:textId="77777777">
        <w:tblPrEx>
          <w:tblCellMar>
            <w:top w:w="0" w:type="dxa"/>
            <w:bottom w:w="0" w:type="dxa"/>
          </w:tblCellMar>
        </w:tblPrEx>
        <w:tc>
          <w:tcPr>
            <w:tcW w:w="26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E0" w14:textId="77777777">
            <w:proofErr w:type="gramStart"/>
            <w:r>
              <w:rPr>
                <w:b/>
                <w:bCs/>
                <w:color w:val="1E2761"/>
                <w:sz w:val="21"/>
                <w:szCs w:val="21"/>
              </w:rPr>
              <w:t>Interest</w:t>
            </w:r>
            <w:proofErr w:type="gramEnd"/>
            <w:r>
              <w:rPr>
                <w:b/>
                <w:bCs/>
                <w:color w:val="1E2761"/>
                <w:sz w:val="21"/>
                <w:szCs w:val="21"/>
              </w:rPr>
              <w:t xml:space="preserve"> Coverage Ratio</w:t>
            </w:r>
          </w:p>
        </w:tc>
        <w:tc>
          <w:tcPr>
            <w:tcW w:w="6760" w:type="dxa"/>
            <w:tcBorders>
              <w:top w:val="single" w:sz="4" w:space="0" w:color="CADCFC"/>
              <w:left w:val="single" w:sz="4" w:space="0" w:color="CADCFC"/>
              <w:bottom w:val="single" w:sz="4" w:space="0" w:color="CADCFC"/>
              <w:right w:val="single" w:sz="4" w:space="0" w:color="CADCFC"/>
            </w:tcBorders>
            <w:shd w:val="clear" w:color="auto" w:fill="F8FAFF"/>
            <w:tcMar>
              <w:top w:w="80" w:type="dxa"/>
              <w:left w:w="120" w:type="dxa"/>
              <w:bottom w:w="80" w:type="dxa"/>
              <w:right w:w="120" w:type="dxa"/>
            </w:tcMar>
            <w:vAlign w:val="center"/>
          </w:tcPr>
          <w:p w14:paraId="28CED3E1" w14:textId="77777777">
            <w:r>
              <w:rPr>
                <w:color w:val="1E293B"/>
                <w:sz w:val="21"/>
                <w:szCs w:val="21"/>
              </w:rPr>
              <w:t xml:space="preserve">EBIT </w:t>
            </w:r>
            <w:proofErr w:type="gramStart"/>
            <w:r>
              <w:rPr>
                <w:color w:val="1E293B"/>
                <w:sz w:val="21"/>
                <w:szCs w:val="21"/>
              </w:rPr>
              <w:t>divided</w:t>
            </w:r>
            <w:proofErr w:type="gramEnd"/>
            <w:r>
              <w:rPr>
                <w:color w:val="1E293B"/>
                <w:sz w:val="21"/>
                <w:szCs w:val="21"/>
              </w:rPr>
              <w:t xml:space="preserve"> by interest expense. Shows how many times over the firm can pay its interest — higher is safer.</w:t>
            </w:r>
          </w:p>
        </w:tc>
      </w:tr>
      <w:tr w14:paraId="28CED3E5" w14:textId="77777777">
        <w:tblPrEx>
          <w:tblCellMar>
            <w:top w:w="0" w:type="dxa"/>
            <w:bottom w:w="0" w:type="dxa"/>
          </w:tblCellMar>
        </w:tblPrEx>
        <w:tc>
          <w:tcPr>
            <w:tcW w:w="26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3E3" w14:textId="77777777">
            <w:r>
              <w:rPr>
                <w:b/>
                <w:bCs/>
                <w:color w:val="1E2761"/>
                <w:sz w:val="21"/>
                <w:szCs w:val="21"/>
              </w:rPr>
              <w:t>Return on Equity (ROE)</w:t>
            </w:r>
          </w:p>
        </w:tc>
        <w:tc>
          <w:tcPr>
            <w:tcW w:w="67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E4" w14:textId="77777777">
            <w:r>
              <w:rPr>
                <w:color w:val="1E293B"/>
                <w:sz w:val="21"/>
                <w:szCs w:val="21"/>
              </w:rPr>
              <w:t xml:space="preserve">Net income </w:t>
            </w:r>
            <w:proofErr w:type="gramStart"/>
            <w:r>
              <w:rPr>
                <w:color w:val="1E293B"/>
                <w:sz w:val="21"/>
                <w:szCs w:val="21"/>
              </w:rPr>
              <w:t>divided</w:t>
            </w:r>
            <w:proofErr w:type="gramEnd"/>
            <w:r>
              <w:rPr>
                <w:color w:val="1E293B"/>
                <w:sz w:val="21"/>
                <w:szCs w:val="21"/>
              </w:rPr>
              <w:t xml:space="preserve"> by shareholders' equity. Measures how efficiently a company generates profit from equity capital.</w:t>
            </w:r>
          </w:p>
        </w:tc>
      </w:tr>
      <w:tr w14:paraId="28CED3E8" w14:textId="77777777">
        <w:tblPrEx>
          <w:tblCellMar>
            <w:top w:w="0" w:type="dxa"/>
            <w:bottom w:w="0" w:type="dxa"/>
          </w:tblCellMar>
        </w:tblPrEx>
        <w:tc>
          <w:tcPr>
            <w:tcW w:w="26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E6" w14:textId="77777777">
            <w:r>
              <w:rPr>
                <w:b/>
                <w:bCs/>
                <w:color w:val="1E2761"/>
                <w:sz w:val="21"/>
                <w:szCs w:val="21"/>
              </w:rPr>
              <w:t>Dilution</w:t>
            </w:r>
          </w:p>
        </w:tc>
        <w:tc>
          <w:tcPr>
            <w:tcW w:w="6760" w:type="dxa"/>
            <w:tcBorders>
              <w:top w:val="single" w:sz="4" w:space="0" w:color="CADCFC"/>
              <w:left w:val="single" w:sz="4" w:space="0" w:color="CADCFC"/>
              <w:bottom w:val="single" w:sz="4" w:space="0" w:color="CADCFC"/>
              <w:right w:val="single" w:sz="4" w:space="0" w:color="CADCFC"/>
            </w:tcBorders>
            <w:shd w:val="clear" w:color="auto" w:fill="F8FAFF"/>
            <w:tcMar>
              <w:top w:w="80" w:type="dxa"/>
              <w:left w:w="120" w:type="dxa"/>
              <w:bottom w:w="80" w:type="dxa"/>
              <w:right w:w="120" w:type="dxa"/>
            </w:tcMar>
            <w:vAlign w:val="center"/>
          </w:tcPr>
          <w:p w14:paraId="28CED3E7" w14:textId="77777777">
            <w:r>
              <w:rPr>
                <w:color w:val="1E293B"/>
                <w:sz w:val="21"/>
                <w:szCs w:val="21"/>
              </w:rPr>
              <w:t>When new shares are issued, each existing share represents a smaller percentage of the company — ROE and EPS often decline.</w:t>
            </w:r>
          </w:p>
        </w:tc>
      </w:tr>
      <w:tr w14:paraId="28CED3EB" w14:textId="77777777">
        <w:tblPrEx>
          <w:tblCellMar>
            <w:top w:w="0" w:type="dxa"/>
            <w:bottom w:w="0" w:type="dxa"/>
          </w:tblCellMar>
        </w:tblPrEx>
        <w:tc>
          <w:tcPr>
            <w:tcW w:w="26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3E9" w14:textId="77777777">
            <w:r>
              <w:rPr>
                <w:b/>
                <w:bCs/>
                <w:color w:val="1E2761"/>
                <w:sz w:val="21"/>
                <w:szCs w:val="21"/>
              </w:rPr>
              <w:t>Lock-Up Period</w:t>
            </w:r>
          </w:p>
        </w:tc>
        <w:tc>
          <w:tcPr>
            <w:tcW w:w="67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EA" w14:textId="77777777">
            <w:r>
              <w:rPr>
                <w:color w:val="1E293B"/>
                <w:sz w:val="21"/>
                <w:szCs w:val="21"/>
              </w:rPr>
              <w:t>A post-IPO restriction (typically 90–180 days) preventing insiders from selling shares, protecting the stock price.</w:t>
            </w:r>
          </w:p>
        </w:tc>
      </w:tr>
    </w:tbl>
    <w:p w14:paraId="28CED3EC" w14:textId="77777777">
      <w:pPr>
        <w:spacing w:before="160"/>
      </w:pPr>
    </w:p>
    <w:p w14:paraId="28CED3ED" w14:textId="77777777">
      <w:pPr>
        <w:pBdr>
          <w:bottom w:val="single" w:sz="6" w:space="4" w:color="C9A84C"/>
        </w:pBdr>
        <w:spacing w:before="300" w:after="120"/>
      </w:pPr>
      <w:r>
        <w:rPr>
          <w:rFonts w:ascii="Georgia" w:eastAsia="Georgia" w:hAnsi="Georgia" w:cs="Georgia"/>
          <w:b/>
          <w:bCs/>
          <w:color w:val="1E2761"/>
          <w:sz w:val="28"/>
          <w:szCs w:val="28"/>
        </w:rPr>
        <w:t>Section 7 — Grading Rubric</w:t>
      </w:r>
    </w:p>
    <w:p w14:paraId="28CED3EE" w14:textId="7777777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3960"/>
      </w:tblGrid>
      <w:tr w14:paraId="28CED3F2" w14:textId="77777777">
        <w:tblPrEx>
          <w:tblCellMar>
            <w:top w:w="0" w:type="dxa"/>
            <w:bottom w:w="0" w:type="dxa"/>
          </w:tblCellMar>
        </w:tblPrEx>
        <w:trPr>
          <w:tblHeader/>
        </w:trPr>
        <w:tc>
          <w:tcPr>
            <w:tcW w:w="3600" w:type="dxa"/>
            <w:tcBorders>
              <w:top w:val="single" w:sz="4" w:space="0" w:color="C9A84C"/>
              <w:left w:val="single" w:sz="4" w:space="0" w:color="C9A84C"/>
              <w:bottom w:val="single" w:sz="4" w:space="0" w:color="C9A84C"/>
              <w:right w:val="single" w:sz="4" w:space="0" w:color="C9A84C"/>
            </w:tcBorders>
            <w:shd w:val="clear" w:color="auto" w:fill="1E2761"/>
            <w:tcMar>
              <w:top w:w="100" w:type="dxa"/>
              <w:left w:w="120" w:type="dxa"/>
              <w:bottom w:w="100" w:type="dxa"/>
              <w:right w:w="120" w:type="dxa"/>
            </w:tcMar>
            <w:vAlign w:val="center"/>
          </w:tcPr>
          <w:p w14:paraId="28CED3EF" w14:textId="77777777">
            <w:pPr>
              <w:jc w:val="center"/>
            </w:pPr>
            <w:r>
              <w:rPr>
                <w:b/>
                <w:bCs/>
                <w:color w:val="FFFFFF"/>
                <w:sz w:val="20"/>
                <w:szCs w:val="20"/>
              </w:rPr>
              <w:t>Component</w:t>
            </w:r>
          </w:p>
        </w:tc>
        <w:tc>
          <w:tcPr>
            <w:tcW w:w="1800" w:type="dxa"/>
            <w:tcBorders>
              <w:top w:val="single" w:sz="4" w:space="0" w:color="C9A84C"/>
              <w:left w:val="single" w:sz="4" w:space="0" w:color="C9A84C"/>
              <w:bottom w:val="single" w:sz="4" w:space="0" w:color="C9A84C"/>
              <w:right w:val="single" w:sz="4" w:space="0" w:color="C9A84C"/>
            </w:tcBorders>
            <w:shd w:val="clear" w:color="auto" w:fill="1E2761"/>
            <w:tcMar>
              <w:top w:w="100" w:type="dxa"/>
              <w:left w:w="120" w:type="dxa"/>
              <w:bottom w:w="100" w:type="dxa"/>
              <w:right w:w="120" w:type="dxa"/>
            </w:tcMar>
            <w:vAlign w:val="center"/>
          </w:tcPr>
          <w:p w14:paraId="28CED3F0" w14:textId="77777777">
            <w:pPr>
              <w:jc w:val="center"/>
            </w:pPr>
            <w:r>
              <w:rPr>
                <w:b/>
                <w:bCs/>
                <w:color w:val="FFFFFF"/>
                <w:sz w:val="20"/>
                <w:szCs w:val="20"/>
              </w:rPr>
              <w:t>Points</w:t>
            </w:r>
          </w:p>
        </w:tc>
        <w:tc>
          <w:tcPr>
            <w:tcW w:w="3960" w:type="dxa"/>
            <w:tcBorders>
              <w:top w:val="single" w:sz="4" w:space="0" w:color="C9A84C"/>
              <w:left w:val="single" w:sz="4" w:space="0" w:color="C9A84C"/>
              <w:bottom w:val="single" w:sz="4" w:space="0" w:color="C9A84C"/>
              <w:right w:val="single" w:sz="4" w:space="0" w:color="C9A84C"/>
            </w:tcBorders>
            <w:shd w:val="clear" w:color="auto" w:fill="1E2761"/>
            <w:tcMar>
              <w:top w:w="100" w:type="dxa"/>
              <w:left w:w="120" w:type="dxa"/>
              <w:bottom w:w="100" w:type="dxa"/>
              <w:right w:w="120" w:type="dxa"/>
            </w:tcMar>
            <w:vAlign w:val="center"/>
          </w:tcPr>
          <w:p w14:paraId="28CED3F1" w14:textId="77777777">
            <w:pPr>
              <w:jc w:val="center"/>
            </w:pPr>
            <w:r>
              <w:rPr>
                <w:b/>
                <w:bCs/>
                <w:color w:val="FFFFFF"/>
                <w:sz w:val="20"/>
                <w:szCs w:val="20"/>
              </w:rPr>
              <w:t>What Earns Full Credit</w:t>
            </w:r>
          </w:p>
        </w:tc>
      </w:tr>
      <w:tr w14:paraId="28CED3F6" w14:textId="77777777">
        <w:tblPrEx>
          <w:tblCellMar>
            <w:top w:w="0" w:type="dxa"/>
            <w:bottom w:w="0" w:type="dxa"/>
          </w:tblCellMar>
        </w:tblPrEx>
        <w:tc>
          <w:tcPr>
            <w:tcW w:w="36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80" w:type="dxa"/>
            </w:tcMar>
            <w:vAlign w:val="center"/>
          </w:tcPr>
          <w:p w14:paraId="28CED3F3" w14:textId="77777777">
            <w:r>
              <w:rPr>
                <w:b/>
                <w:bCs/>
                <w:color w:val="1E2761"/>
                <w:sz w:val="21"/>
                <w:szCs w:val="21"/>
              </w:rPr>
              <w:t>Tab 2: DDM Stock Price (P₀)</w:t>
            </w:r>
          </w:p>
        </w:tc>
        <w:tc>
          <w:tcPr>
            <w:tcW w:w="18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80" w:type="dxa"/>
              <w:bottom w:w="80" w:type="dxa"/>
              <w:right w:w="80" w:type="dxa"/>
            </w:tcMar>
            <w:vAlign w:val="center"/>
          </w:tcPr>
          <w:p w14:paraId="28CED3F4" w14:textId="77777777">
            <w:pPr>
              <w:jc w:val="center"/>
            </w:pPr>
            <w:r>
              <w:rPr>
                <w:b/>
                <w:bCs/>
                <w:color w:val="C9A84C"/>
              </w:rPr>
              <w:t>15 pts</w:t>
            </w:r>
          </w:p>
        </w:tc>
        <w:tc>
          <w:tcPr>
            <w:tcW w:w="396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3F5" w14:textId="77777777">
            <w:r>
              <w:rPr>
                <w:color w:val="334155"/>
                <w:sz w:val="20"/>
                <w:szCs w:val="20"/>
              </w:rPr>
              <w:t>Correct formula structure; result within ±$0.10 of answer key</w:t>
            </w:r>
          </w:p>
        </w:tc>
      </w:tr>
      <w:tr w14:paraId="28CED3FA" w14:textId="77777777">
        <w:tblPrEx>
          <w:tblCellMar>
            <w:top w:w="0" w:type="dxa"/>
            <w:bottom w:w="0" w:type="dxa"/>
          </w:tblCellMar>
        </w:tblPrEx>
        <w:tc>
          <w:tcPr>
            <w:tcW w:w="36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80" w:type="dxa"/>
            </w:tcMar>
            <w:vAlign w:val="center"/>
          </w:tcPr>
          <w:p w14:paraId="28CED3F7" w14:textId="77777777">
            <w:r>
              <w:rPr>
                <w:b/>
                <w:bCs/>
                <w:color w:val="1E2761"/>
                <w:sz w:val="21"/>
                <w:szCs w:val="21"/>
              </w:rPr>
              <w:t>Tab 2: FCF Enterprise Value &amp; Price</w:t>
            </w:r>
          </w:p>
        </w:tc>
        <w:tc>
          <w:tcPr>
            <w:tcW w:w="18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80" w:type="dxa"/>
              <w:bottom w:w="80" w:type="dxa"/>
              <w:right w:w="80" w:type="dxa"/>
            </w:tcMar>
            <w:vAlign w:val="center"/>
          </w:tcPr>
          <w:p w14:paraId="28CED3F8" w14:textId="77777777">
            <w:pPr>
              <w:jc w:val="center"/>
            </w:pPr>
            <w:r>
              <w:rPr>
                <w:b/>
                <w:bCs/>
                <w:color w:val="C9A84C"/>
              </w:rPr>
              <w:t>20 pts</w:t>
            </w:r>
          </w:p>
        </w:tc>
        <w:tc>
          <w:tcPr>
            <w:tcW w:w="39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F9" w14:textId="77777777">
            <w:r>
              <w:rPr>
                <w:color w:val="334155"/>
                <w:sz w:val="20"/>
                <w:szCs w:val="20"/>
              </w:rPr>
              <w:t>All three steps correct; formulas reference input cells (no hardcoding)</w:t>
            </w:r>
          </w:p>
        </w:tc>
      </w:tr>
      <w:tr w14:paraId="28CED3FE" w14:textId="77777777">
        <w:tblPrEx>
          <w:tblCellMar>
            <w:top w:w="0" w:type="dxa"/>
            <w:bottom w:w="0" w:type="dxa"/>
          </w:tblCellMar>
        </w:tblPrEx>
        <w:tc>
          <w:tcPr>
            <w:tcW w:w="36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80" w:type="dxa"/>
            </w:tcMar>
            <w:vAlign w:val="center"/>
          </w:tcPr>
          <w:p w14:paraId="28CED3FB" w14:textId="77777777">
            <w:r>
              <w:rPr>
                <w:b/>
                <w:bCs/>
                <w:color w:val="1E2761"/>
                <w:sz w:val="21"/>
                <w:szCs w:val="21"/>
              </w:rPr>
              <w:t>Tab 2: Valuation Comparison Summary</w:t>
            </w:r>
          </w:p>
        </w:tc>
        <w:tc>
          <w:tcPr>
            <w:tcW w:w="18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80" w:type="dxa"/>
              <w:bottom w:w="80" w:type="dxa"/>
              <w:right w:w="80" w:type="dxa"/>
            </w:tcMar>
            <w:vAlign w:val="center"/>
          </w:tcPr>
          <w:p w14:paraId="28CED3FC" w14:textId="77777777">
            <w:pPr>
              <w:jc w:val="center"/>
            </w:pPr>
            <w:r>
              <w:rPr>
                <w:b/>
                <w:bCs/>
                <w:color w:val="C9A84C"/>
              </w:rPr>
              <w:t>10 pts</w:t>
            </w:r>
          </w:p>
        </w:tc>
        <w:tc>
          <w:tcPr>
            <w:tcW w:w="396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3FD" w14:textId="77777777">
            <w:r>
              <w:rPr>
                <w:color w:val="334155"/>
                <w:sz w:val="20"/>
                <w:szCs w:val="20"/>
              </w:rPr>
              <w:t>Prices linked correctly; thoughtful interpretation sentence for each model</w:t>
            </w:r>
          </w:p>
        </w:tc>
      </w:tr>
      <w:tr w14:paraId="28CED402" w14:textId="77777777">
        <w:tblPrEx>
          <w:tblCellMar>
            <w:top w:w="0" w:type="dxa"/>
            <w:bottom w:w="0" w:type="dxa"/>
          </w:tblCellMar>
        </w:tblPrEx>
        <w:tc>
          <w:tcPr>
            <w:tcW w:w="36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80" w:type="dxa"/>
            </w:tcMar>
            <w:vAlign w:val="center"/>
          </w:tcPr>
          <w:p w14:paraId="28CED3FF" w14:textId="77777777">
            <w:r>
              <w:rPr>
                <w:b/>
                <w:bCs/>
                <w:color w:val="1E2761"/>
                <w:sz w:val="21"/>
                <w:szCs w:val="21"/>
              </w:rPr>
              <w:t>Tab 3: Post-IPO Balance Sheet Adjustments</w:t>
            </w:r>
          </w:p>
        </w:tc>
        <w:tc>
          <w:tcPr>
            <w:tcW w:w="18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80" w:type="dxa"/>
              <w:bottom w:w="80" w:type="dxa"/>
              <w:right w:w="80" w:type="dxa"/>
            </w:tcMar>
            <w:vAlign w:val="center"/>
          </w:tcPr>
          <w:p w14:paraId="28CED400" w14:textId="77777777">
            <w:pPr>
              <w:jc w:val="center"/>
            </w:pPr>
            <w:r>
              <w:rPr>
                <w:b/>
                <w:bCs/>
                <w:color w:val="C9A84C"/>
              </w:rPr>
              <w:t>10 pts</w:t>
            </w:r>
          </w:p>
        </w:tc>
        <w:tc>
          <w:tcPr>
            <w:tcW w:w="39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401" w14:textId="77777777">
            <w:r>
              <w:rPr>
                <w:color w:val="334155"/>
                <w:sz w:val="20"/>
                <w:szCs w:val="20"/>
              </w:rPr>
              <w:t xml:space="preserve">All </w:t>
            </w:r>
            <w:proofErr w:type="gramStart"/>
            <w:r>
              <w:rPr>
                <w:color w:val="334155"/>
                <w:sz w:val="20"/>
                <w:szCs w:val="20"/>
              </w:rPr>
              <w:t>six line</w:t>
            </w:r>
            <w:proofErr w:type="gramEnd"/>
            <w:r>
              <w:rPr>
                <w:color w:val="334155"/>
                <w:sz w:val="20"/>
                <w:szCs w:val="20"/>
              </w:rPr>
              <w:t xml:space="preserve"> items adjusted correctly using Excel formulas</w:t>
            </w:r>
          </w:p>
        </w:tc>
      </w:tr>
      <w:tr w14:paraId="28CED406" w14:textId="77777777">
        <w:tblPrEx>
          <w:tblCellMar>
            <w:top w:w="0" w:type="dxa"/>
            <w:bottom w:w="0" w:type="dxa"/>
          </w:tblCellMar>
        </w:tblPrEx>
        <w:tc>
          <w:tcPr>
            <w:tcW w:w="36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80" w:type="dxa"/>
            </w:tcMar>
            <w:vAlign w:val="center"/>
          </w:tcPr>
          <w:p w14:paraId="28CED403" w14:textId="77777777">
            <w:r>
              <w:rPr>
                <w:b/>
                <w:bCs/>
                <w:color w:val="1E2761"/>
                <w:sz w:val="21"/>
                <w:szCs w:val="21"/>
              </w:rPr>
              <w:t>Tab 3: Six Financial Ratios (Pre &amp; Post)</w:t>
            </w:r>
          </w:p>
        </w:tc>
        <w:tc>
          <w:tcPr>
            <w:tcW w:w="18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80" w:type="dxa"/>
              <w:bottom w:w="80" w:type="dxa"/>
              <w:right w:w="80" w:type="dxa"/>
            </w:tcMar>
            <w:vAlign w:val="center"/>
          </w:tcPr>
          <w:p w14:paraId="28CED404" w14:textId="77777777">
            <w:pPr>
              <w:jc w:val="center"/>
            </w:pPr>
            <w:r>
              <w:rPr>
                <w:b/>
                <w:bCs/>
                <w:color w:val="C9A84C"/>
              </w:rPr>
              <w:t>20 pts</w:t>
            </w:r>
          </w:p>
        </w:tc>
        <w:tc>
          <w:tcPr>
            <w:tcW w:w="396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405" w14:textId="77777777">
            <w:r>
              <w:rPr>
                <w:color w:val="334155"/>
                <w:sz w:val="20"/>
                <w:szCs w:val="20"/>
              </w:rPr>
              <w:t>Correct formula for each ratio; cell references used throughout</w:t>
            </w:r>
          </w:p>
        </w:tc>
      </w:tr>
      <w:tr w14:paraId="28CED40A" w14:textId="77777777">
        <w:tblPrEx>
          <w:tblCellMar>
            <w:top w:w="0" w:type="dxa"/>
            <w:bottom w:w="0" w:type="dxa"/>
          </w:tblCellMar>
        </w:tblPrEx>
        <w:tc>
          <w:tcPr>
            <w:tcW w:w="36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80" w:type="dxa"/>
            </w:tcMar>
            <w:vAlign w:val="center"/>
          </w:tcPr>
          <w:p w14:paraId="28CED407" w14:textId="77777777">
            <w:r>
              <w:rPr>
                <w:b/>
                <w:bCs/>
                <w:color w:val="1E2761"/>
                <w:sz w:val="21"/>
                <w:szCs w:val="21"/>
              </w:rPr>
              <w:t>Tab 3: Reflection Questions</w:t>
            </w:r>
          </w:p>
        </w:tc>
        <w:tc>
          <w:tcPr>
            <w:tcW w:w="18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80" w:type="dxa"/>
              <w:bottom w:w="80" w:type="dxa"/>
              <w:right w:w="80" w:type="dxa"/>
            </w:tcMar>
            <w:vAlign w:val="center"/>
          </w:tcPr>
          <w:p w14:paraId="28CED408" w14:textId="77777777">
            <w:pPr>
              <w:jc w:val="center"/>
            </w:pPr>
            <w:r>
              <w:rPr>
                <w:b/>
                <w:bCs/>
                <w:color w:val="C9A84C"/>
              </w:rPr>
              <w:t>10 pts</w:t>
            </w:r>
          </w:p>
        </w:tc>
        <w:tc>
          <w:tcPr>
            <w:tcW w:w="39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409" w14:textId="77777777">
            <w:r>
              <w:rPr>
                <w:color w:val="334155"/>
                <w:sz w:val="20"/>
                <w:szCs w:val="20"/>
              </w:rPr>
              <w:t>Demonstrates conceptual understanding; no one-word answers</w:t>
            </w:r>
          </w:p>
        </w:tc>
      </w:tr>
      <w:tr w14:paraId="28CED40E" w14:textId="77777777">
        <w:tblPrEx>
          <w:tblCellMar>
            <w:top w:w="0" w:type="dxa"/>
            <w:bottom w:w="0" w:type="dxa"/>
          </w:tblCellMar>
        </w:tblPrEx>
        <w:tc>
          <w:tcPr>
            <w:tcW w:w="36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80" w:type="dxa"/>
            </w:tcMar>
            <w:vAlign w:val="center"/>
          </w:tcPr>
          <w:p w14:paraId="28CED40B" w14:textId="77777777">
            <w:r>
              <w:rPr>
                <w:b/>
                <w:bCs/>
                <w:color w:val="1E2761"/>
                <w:sz w:val="21"/>
                <w:szCs w:val="21"/>
              </w:rPr>
              <w:t>Tab 4: Three-Scenario Ratio Table</w:t>
            </w:r>
          </w:p>
        </w:tc>
        <w:tc>
          <w:tcPr>
            <w:tcW w:w="18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80" w:type="dxa"/>
              <w:bottom w:w="80" w:type="dxa"/>
              <w:right w:w="80" w:type="dxa"/>
            </w:tcMar>
            <w:vAlign w:val="center"/>
          </w:tcPr>
          <w:p w14:paraId="28CED40C" w14:textId="77777777">
            <w:pPr>
              <w:jc w:val="center"/>
            </w:pPr>
            <w:r>
              <w:rPr>
                <w:b/>
                <w:bCs/>
                <w:color w:val="C9A84C"/>
              </w:rPr>
              <w:t>10 pts</w:t>
            </w:r>
          </w:p>
        </w:tc>
        <w:tc>
          <w:tcPr>
            <w:tcW w:w="396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40D" w14:textId="77777777">
            <w:r>
              <w:rPr>
                <w:color w:val="334155"/>
                <w:sz w:val="20"/>
                <w:szCs w:val="20"/>
              </w:rPr>
              <w:t>All 18 cells completed with correct formulas; results are logically consistent</w:t>
            </w:r>
          </w:p>
        </w:tc>
      </w:tr>
      <w:tr w14:paraId="28CED412" w14:textId="77777777">
        <w:tblPrEx>
          <w:tblCellMar>
            <w:top w:w="0" w:type="dxa"/>
            <w:bottom w:w="0" w:type="dxa"/>
          </w:tblCellMar>
        </w:tblPrEx>
        <w:tc>
          <w:tcPr>
            <w:tcW w:w="36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80" w:type="dxa"/>
            </w:tcMar>
            <w:vAlign w:val="center"/>
          </w:tcPr>
          <w:p w14:paraId="28CED40F" w14:textId="77777777">
            <w:r>
              <w:rPr>
                <w:b/>
                <w:bCs/>
                <w:color w:val="1E2761"/>
                <w:sz w:val="21"/>
                <w:szCs w:val="21"/>
              </w:rPr>
              <w:t>Tab 4: Best Scenario Analysis</w:t>
            </w:r>
          </w:p>
        </w:tc>
        <w:tc>
          <w:tcPr>
            <w:tcW w:w="18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80" w:type="dxa"/>
              <w:bottom w:w="80" w:type="dxa"/>
              <w:right w:w="80" w:type="dxa"/>
            </w:tcMar>
            <w:vAlign w:val="center"/>
          </w:tcPr>
          <w:p w14:paraId="28CED410" w14:textId="77777777">
            <w:pPr>
              <w:jc w:val="center"/>
            </w:pPr>
            <w:r>
              <w:rPr>
                <w:b/>
                <w:bCs/>
                <w:color w:val="C9A84C"/>
              </w:rPr>
              <w:t>5 pts</w:t>
            </w:r>
          </w:p>
        </w:tc>
        <w:tc>
          <w:tcPr>
            <w:tcW w:w="39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411" w14:textId="77777777">
            <w:r>
              <w:rPr>
                <w:color w:val="334155"/>
                <w:sz w:val="20"/>
                <w:szCs w:val="20"/>
              </w:rPr>
              <w:t>Reasoned justification provided; answer is defensible given the ratios</w:t>
            </w:r>
          </w:p>
        </w:tc>
      </w:tr>
    </w:tbl>
    <w:p w14:paraId="28CED413" w14:textId="7777777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14:paraId="28CED416" w14:textId="77777777">
        <w:tblPrEx>
          <w:tblCellMar>
            <w:top w:w="0" w:type="dxa"/>
            <w:bottom w:w="0" w:type="dxa"/>
          </w:tblCellMar>
        </w:tblPrEx>
        <w:tc>
          <w:tcPr>
            <w:tcW w:w="9360" w:type="dxa"/>
            <w:tcBorders>
              <w:top w:val="single" w:sz="4" w:space="0" w:color="1E2761"/>
              <w:left w:val="single" w:sz="4" w:space="0" w:color="1E2761"/>
              <w:bottom w:val="single" w:sz="4" w:space="0" w:color="1E2761"/>
              <w:right w:val="single" w:sz="4" w:space="0" w:color="1E2761"/>
            </w:tcBorders>
            <w:shd w:val="clear" w:color="auto" w:fill="EFF6FF"/>
            <w:tcMar>
              <w:top w:w="160" w:type="dxa"/>
              <w:left w:w="200" w:type="dxa"/>
              <w:bottom w:w="160" w:type="dxa"/>
              <w:right w:w="200" w:type="dxa"/>
            </w:tcMar>
          </w:tcPr>
          <w:p w14:paraId="28CED414" w14:textId="77777777">
            <w:pPr>
              <w:spacing w:after="60"/>
            </w:pPr>
            <w:r>
              <w:rPr>
                <w:rFonts w:ascii="Georgia" w:eastAsia="Georgia" w:hAnsi="Georgia" w:cs="Georgia"/>
                <w:b/>
                <w:bCs/>
                <w:color w:val="1E2761"/>
                <w:sz w:val="26"/>
                <w:szCs w:val="26"/>
              </w:rPr>
              <w:t>Total: 100 Points</w:t>
            </w:r>
          </w:p>
          <w:p w14:paraId="28CED415" w14:textId="77777777">
            <w:pPr>
              <w:spacing w:before="60" w:after="60"/>
            </w:pPr>
            <w:r>
              <w:rPr>
                <w:color w:val="1E293B"/>
              </w:rPr>
              <w:lastRenderedPageBreak/>
              <w:t>A note on partial credit: If your formula is structurally correct but references the wrong cell, you may earn up to 70% of available points for that item. Always double-check that your formulas reference the correct rows and tabs.</w:t>
            </w:r>
          </w:p>
        </w:tc>
      </w:tr>
    </w:tbl>
    <w:p w14:paraId="28CED417" w14:textId="77777777">
      <w:pPr>
        <w:spacing w:before="160"/>
      </w:pPr>
    </w:p>
    <w:p w14:paraId="28CED418" w14:textId="77777777">
      <w:pPr>
        <w:pBdr>
          <w:bottom w:val="single" w:sz="6" w:space="4" w:color="C9A84C"/>
        </w:pBdr>
        <w:spacing w:before="300" w:after="120"/>
      </w:pPr>
      <w:r>
        <w:rPr>
          <w:rFonts w:ascii="Georgia" w:eastAsia="Georgia" w:hAnsi="Georgia" w:cs="Georgia"/>
          <w:b/>
          <w:bCs/>
          <w:color w:val="1E2761"/>
          <w:sz w:val="28"/>
          <w:szCs w:val="28"/>
        </w:rPr>
        <w:t>Section 8 — Tips for Success &amp; Common Mistakes to Avoid</w:t>
      </w:r>
    </w:p>
    <w:p w14:paraId="28CED419" w14:textId="77777777">
      <w:pPr>
        <w:spacing w:before="60"/>
      </w:pPr>
    </w:p>
    <w:p w14:paraId="28CED41A" w14:textId="77777777">
      <w:pPr>
        <w:spacing w:before="200" w:after="80"/>
      </w:pPr>
      <w:r>
        <w:rPr>
          <w:b/>
          <w:bCs/>
          <w:color w:val="1E2761"/>
          <w:sz w:val="24"/>
          <w:szCs w:val="24"/>
        </w:rPr>
        <w:t>Do These Things</w:t>
      </w:r>
    </w:p>
    <w:p w14:paraId="28CED41B" w14:textId="77777777">
      <w:pPr>
        <w:pStyle w:val="ListParagraph"/>
        <w:numPr>
          <w:ilvl w:val="0"/>
          <w:numId w:val="2"/>
        </w:numPr>
        <w:spacing w:before="40" w:after="40"/>
      </w:pPr>
      <w:r>
        <w:rPr>
          <w:b/>
          <w:bCs/>
          <w:color w:val="1E2761"/>
        </w:rPr>
        <w:t>✓</w:t>
      </w:r>
      <w:r>
        <w:rPr>
          <w:b/>
          <w:bCs/>
          <w:color w:val="1E2761"/>
        </w:rPr>
        <w:t xml:space="preserve"> </w:t>
      </w:r>
      <w:r>
        <w:rPr>
          <w:color w:val="1E293B"/>
        </w:rPr>
        <w:t>Always use = cell references instead of typing numbers directly into formulas (e.g., =C7-C8, not =850000-255000).</w:t>
      </w:r>
    </w:p>
    <w:p w14:paraId="28CED41C" w14:textId="77777777">
      <w:pPr>
        <w:pStyle w:val="ListParagraph"/>
        <w:numPr>
          <w:ilvl w:val="0"/>
          <w:numId w:val="2"/>
        </w:numPr>
        <w:spacing w:before="40" w:after="40"/>
      </w:pPr>
      <w:r>
        <w:rPr>
          <w:b/>
          <w:bCs/>
          <w:color w:val="1E2761"/>
        </w:rPr>
        <w:t>✓</w:t>
      </w:r>
      <w:r>
        <w:rPr>
          <w:b/>
          <w:bCs/>
          <w:color w:val="1E2761"/>
        </w:rPr>
        <w:t xml:space="preserve"> </w:t>
      </w:r>
      <w:r>
        <w:rPr>
          <w:color w:val="1E293B"/>
        </w:rPr>
        <w:t>Work through the tabs in order — Tab 3 references data generated by your Tab 2 work.</w:t>
      </w:r>
    </w:p>
    <w:p w14:paraId="28CED41D" w14:textId="77777777">
      <w:pPr>
        <w:pStyle w:val="ListParagraph"/>
        <w:numPr>
          <w:ilvl w:val="0"/>
          <w:numId w:val="2"/>
        </w:numPr>
        <w:spacing w:before="40" w:after="40"/>
      </w:pPr>
      <w:r>
        <w:rPr>
          <w:b/>
          <w:bCs/>
          <w:color w:val="1E2761"/>
        </w:rPr>
        <w:t>✓</w:t>
      </w:r>
      <w:r>
        <w:rPr>
          <w:b/>
          <w:bCs/>
          <w:color w:val="1E2761"/>
        </w:rPr>
        <w:t xml:space="preserve"> </w:t>
      </w:r>
      <w:r>
        <w:rPr>
          <w:color w:val="1E293B"/>
        </w:rPr>
        <w:t>Check the logic of your answer: the pre-IPO D/E ratio should be around 1.22x, not 10x or 0.01x. If your result looks wildly off, check your formula inputs.</w:t>
      </w:r>
    </w:p>
    <w:p w14:paraId="28CED41E" w14:textId="77777777">
      <w:pPr>
        <w:pStyle w:val="ListParagraph"/>
        <w:numPr>
          <w:ilvl w:val="0"/>
          <w:numId w:val="2"/>
        </w:numPr>
        <w:spacing w:before="40" w:after="40"/>
      </w:pPr>
      <w:r>
        <w:rPr>
          <w:b/>
          <w:bCs/>
          <w:color w:val="1E2761"/>
        </w:rPr>
        <w:t>✓</w:t>
      </w:r>
      <w:r>
        <w:rPr>
          <w:b/>
          <w:bCs/>
          <w:color w:val="1E2761"/>
        </w:rPr>
        <w:t xml:space="preserve"> </w:t>
      </w:r>
      <w:r>
        <w:rPr>
          <w:color w:val="1E293B"/>
        </w:rPr>
        <w:t>For Tab 3 Post-IPO ratios, build your formulas off the adjusted balance sheet values in the top section of Tab 3, not the raw Tab 1 data.</w:t>
      </w:r>
    </w:p>
    <w:p w14:paraId="28CED41F" w14:textId="77777777">
      <w:pPr>
        <w:pStyle w:val="ListParagraph"/>
        <w:numPr>
          <w:ilvl w:val="0"/>
          <w:numId w:val="2"/>
        </w:numPr>
        <w:spacing w:before="40" w:after="40"/>
      </w:pPr>
      <w:r>
        <w:rPr>
          <w:b/>
          <w:bCs/>
          <w:color w:val="1E2761"/>
        </w:rPr>
        <w:t>✓</w:t>
      </w:r>
      <w:r>
        <w:rPr>
          <w:b/>
          <w:bCs/>
          <w:color w:val="1E2761"/>
        </w:rPr>
        <w:t xml:space="preserve"> </w:t>
      </w:r>
      <w:r>
        <w:rPr>
          <w:color w:val="1E293B"/>
        </w:rPr>
        <w:t xml:space="preserve">Save your file frequently. Use </w:t>
      </w:r>
      <w:proofErr w:type="spellStart"/>
      <w:r>
        <w:rPr>
          <w:color w:val="1E293B"/>
        </w:rPr>
        <w:t>Ctrl+S</w:t>
      </w:r>
      <w:proofErr w:type="spellEnd"/>
      <w:r>
        <w:rPr>
          <w:color w:val="1E293B"/>
        </w:rPr>
        <w:t xml:space="preserve"> after completing each tab.</w:t>
      </w:r>
    </w:p>
    <w:p w14:paraId="28CED420" w14:textId="77777777">
      <w:pPr>
        <w:spacing w:before="80"/>
      </w:pPr>
    </w:p>
    <w:p w14:paraId="28CED421" w14:textId="77777777">
      <w:pPr>
        <w:spacing w:before="200" w:after="80"/>
      </w:pPr>
      <w:r>
        <w:rPr>
          <w:b/>
          <w:bCs/>
          <w:color w:val="1E2761"/>
          <w:sz w:val="24"/>
          <w:szCs w:val="24"/>
        </w:rPr>
        <w:t>Avoid These Common Mistakes</w:t>
      </w:r>
    </w:p>
    <w:p w14:paraId="28CED422" w14:textId="77777777">
      <w:pPr>
        <w:pStyle w:val="ListParagraph"/>
        <w:numPr>
          <w:ilvl w:val="0"/>
          <w:numId w:val="2"/>
        </w:numPr>
        <w:spacing w:before="40" w:after="40"/>
      </w:pPr>
      <w:r>
        <w:rPr>
          <w:b/>
          <w:bCs/>
          <w:color w:val="1E2761"/>
        </w:rPr>
        <w:t>✗</w:t>
      </w:r>
      <w:r>
        <w:rPr>
          <w:b/>
          <w:bCs/>
          <w:color w:val="1E2761"/>
        </w:rPr>
        <w:t xml:space="preserve"> </w:t>
      </w:r>
      <w:r>
        <w:rPr>
          <w:color w:val="1E293B"/>
        </w:rPr>
        <w:t>Do not hardcode numbers in yellow cells. Even if your answer is numerically correct, hardcoding will cost you points.</w:t>
      </w:r>
    </w:p>
    <w:p w14:paraId="28CED423" w14:textId="77777777">
      <w:pPr>
        <w:pStyle w:val="ListParagraph"/>
        <w:numPr>
          <w:ilvl w:val="0"/>
          <w:numId w:val="2"/>
        </w:numPr>
        <w:spacing w:before="40" w:after="40"/>
      </w:pPr>
      <w:r>
        <w:rPr>
          <w:b/>
          <w:bCs/>
          <w:color w:val="1E2761"/>
        </w:rPr>
        <w:t>✗</w:t>
      </w:r>
      <w:r>
        <w:rPr>
          <w:b/>
          <w:bCs/>
          <w:color w:val="1E2761"/>
        </w:rPr>
        <w:t xml:space="preserve"> </w:t>
      </w:r>
      <w:r>
        <w:rPr>
          <w:color w:val="1E293B"/>
        </w:rPr>
        <w:t>Don't confuse Total Debt ($300M) with Net Debt ($255M). Net Debt = Total Debt – Cash = $300M – $45M.</w:t>
      </w:r>
    </w:p>
    <w:p w14:paraId="28CED424" w14:textId="77777777">
      <w:pPr>
        <w:pStyle w:val="ListParagraph"/>
        <w:numPr>
          <w:ilvl w:val="0"/>
          <w:numId w:val="2"/>
        </w:numPr>
        <w:spacing w:before="40" w:after="40"/>
      </w:pPr>
      <w:r>
        <w:rPr>
          <w:b/>
          <w:bCs/>
          <w:color w:val="1E2761"/>
        </w:rPr>
        <w:t>✗</w:t>
      </w:r>
      <w:r>
        <w:rPr>
          <w:b/>
          <w:bCs/>
          <w:color w:val="1E2761"/>
        </w:rPr>
        <w:t xml:space="preserve"> </w:t>
      </w:r>
      <w:r>
        <w:rPr>
          <w:color w:val="1E293B"/>
        </w:rPr>
        <w:t xml:space="preserve">When calculating </w:t>
      </w:r>
      <w:proofErr w:type="gramStart"/>
      <w:r>
        <w:rPr>
          <w:color w:val="1E293B"/>
        </w:rPr>
        <w:t>Post-IPO</w:t>
      </w:r>
      <w:proofErr w:type="gramEnd"/>
      <w:r>
        <w:rPr>
          <w:color w:val="1E293B"/>
        </w:rPr>
        <w:t xml:space="preserve"> equity, remember it is </w:t>
      </w:r>
      <w:proofErr w:type="gramStart"/>
      <w:r>
        <w:rPr>
          <w:color w:val="1E293B"/>
        </w:rPr>
        <w:t>Pre-IPO</w:t>
      </w:r>
      <w:proofErr w:type="gramEnd"/>
      <w:r>
        <w:rPr>
          <w:color w:val="1E293B"/>
        </w:rPr>
        <w:t xml:space="preserve"> equity ($245M) plus all IPO proceeds ($400M) = $645M — not just the proceeds.</w:t>
      </w:r>
    </w:p>
    <w:p w14:paraId="28CED425" w14:textId="77777777">
      <w:pPr>
        <w:pStyle w:val="ListParagraph"/>
        <w:numPr>
          <w:ilvl w:val="0"/>
          <w:numId w:val="2"/>
        </w:numPr>
        <w:spacing w:before="40" w:after="40"/>
      </w:pPr>
      <w:r>
        <w:rPr>
          <w:b/>
          <w:bCs/>
          <w:color w:val="1E2761"/>
        </w:rPr>
        <w:t>✗</w:t>
      </w:r>
      <w:r>
        <w:rPr>
          <w:b/>
          <w:bCs/>
          <w:color w:val="1E2761"/>
        </w:rPr>
        <w:t xml:space="preserve"> </w:t>
      </w:r>
      <w:r>
        <w:rPr>
          <w:color w:val="1E293B"/>
        </w:rPr>
        <w:t>For Scenario A (all debt paydown), interest expense becomes $0 — your Interest Coverage formula must handle a zero denominator. Consider using =IF(G12=0,"N/A</w:t>
      </w:r>
      <w:proofErr w:type="gramStart"/>
      <w:r>
        <w:rPr>
          <w:color w:val="1E293B"/>
        </w:rPr>
        <w:t>",G</w:t>
      </w:r>
      <w:proofErr w:type="gramEnd"/>
      <w:r>
        <w:rPr>
          <w:color w:val="1E293B"/>
        </w:rPr>
        <w:t>11/G12).</w:t>
      </w:r>
    </w:p>
    <w:p w14:paraId="28CED426" w14:textId="77777777">
      <w:pPr>
        <w:pStyle w:val="ListParagraph"/>
        <w:numPr>
          <w:ilvl w:val="0"/>
          <w:numId w:val="2"/>
        </w:numPr>
        <w:spacing w:before="40" w:after="40"/>
      </w:pPr>
      <w:r>
        <w:rPr>
          <w:b/>
          <w:bCs/>
          <w:color w:val="1E2761"/>
        </w:rPr>
        <w:t>✗</w:t>
      </w:r>
      <w:r>
        <w:rPr>
          <w:b/>
          <w:bCs/>
          <w:color w:val="1E2761"/>
        </w:rPr>
        <w:t xml:space="preserve"> </w:t>
      </w:r>
      <w:r>
        <w:rPr>
          <w:color w:val="1E293B"/>
        </w:rPr>
        <w:t>Don't skip the interpretation sentences. These are graded and worth more than you might expect.</w:t>
      </w:r>
    </w:p>
    <w:p w14:paraId="28CED427" w14:textId="77777777">
      <w:pPr>
        <w:spacing w:before="160"/>
      </w:pPr>
    </w:p>
    <w:p w14:paraId="28CED428" w14:textId="77777777">
      <w:pPr>
        <w:pBdr>
          <w:bottom w:val="single" w:sz="6" w:space="4" w:color="C9A84C"/>
        </w:pBdr>
        <w:spacing w:before="300" w:after="120"/>
      </w:pPr>
      <w:r>
        <w:rPr>
          <w:rFonts w:ascii="Georgia" w:eastAsia="Georgia" w:hAnsi="Georgia" w:cs="Georgia"/>
          <w:b/>
          <w:bCs/>
          <w:color w:val="1E2761"/>
          <w:sz w:val="28"/>
          <w:szCs w:val="28"/>
        </w:rPr>
        <w:t>Section 9 — Submission Instructions</w:t>
      </w:r>
    </w:p>
    <w:p w14:paraId="28CED429" w14:textId="7777777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14:paraId="28CED433" w14:textId="77777777">
        <w:tblPrEx>
          <w:tblCellMar>
            <w:top w:w="0" w:type="dxa"/>
            <w:bottom w:w="0" w:type="dxa"/>
          </w:tblCellMar>
        </w:tblPrEx>
        <w:tc>
          <w:tcPr>
            <w:tcW w:w="9360" w:type="dxa"/>
            <w:tcBorders>
              <w:top w:val="single" w:sz="4" w:space="0" w:color="CADCFC"/>
              <w:left w:val="single" w:sz="4" w:space="0" w:color="CADCFC"/>
              <w:bottom w:val="single" w:sz="4" w:space="0" w:color="CADCFC"/>
              <w:right w:val="single" w:sz="4" w:space="0" w:color="CADCFC"/>
            </w:tcBorders>
            <w:shd w:val="clear" w:color="auto" w:fill="F4F6FB"/>
            <w:tcMar>
              <w:top w:w="160" w:type="dxa"/>
              <w:left w:w="200" w:type="dxa"/>
              <w:bottom w:w="160" w:type="dxa"/>
              <w:right w:w="200" w:type="dxa"/>
            </w:tcMar>
          </w:tcPr>
          <w:p w14:paraId="28CED42A" w14:textId="77777777">
            <w:pPr>
              <w:spacing w:after="80"/>
            </w:pPr>
            <w:r>
              <w:rPr>
                <w:rFonts w:ascii="Georgia" w:eastAsia="Georgia" w:hAnsi="Georgia" w:cs="Georgia"/>
                <w:b/>
                <w:bCs/>
                <w:color w:val="1E2761"/>
                <w:sz w:val="24"/>
                <w:szCs w:val="24"/>
              </w:rPr>
              <w:t>Before You Submit — Checklist</w:t>
            </w:r>
          </w:p>
          <w:p w14:paraId="28CED42B" w14:textId="77777777">
            <w:pPr>
              <w:pStyle w:val="ListParagraph"/>
              <w:numPr>
                <w:ilvl w:val="0"/>
                <w:numId w:val="2"/>
              </w:numPr>
              <w:spacing w:before="60" w:after="60"/>
            </w:pPr>
            <w:r>
              <w:rPr>
                <w:color w:val="1E293B"/>
              </w:rPr>
              <w:t>All yellow cells on Tabs 2, 3, and 4 contain formulas (not blank, not hardcoded numbers)</w:t>
            </w:r>
          </w:p>
          <w:p w14:paraId="28CED42C" w14:textId="77777777">
            <w:pPr>
              <w:pStyle w:val="ListParagraph"/>
              <w:numPr>
                <w:ilvl w:val="0"/>
                <w:numId w:val="2"/>
              </w:numPr>
              <w:spacing w:before="60" w:after="60"/>
            </w:pPr>
            <w:r>
              <w:rPr>
                <w:color w:val="1E293B"/>
              </w:rPr>
              <w:t>Tab 2 shows both a DDM price and an FCF price with comparison text completed</w:t>
            </w:r>
          </w:p>
          <w:p w14:paraId="72E9C0B7" w14:textId="01738250">
            <w:pPr>
              <w:pStyle w:val="ListParagraph"/>
              <w:numPr>
                <w:ilvl w:val="0"/>
                <w:numId w:val="2"/>
              </w:numPr>
              <w:spacing w:before="60" w:after="60"/>
            </w:pPr>
            <w:r>
              <w:t>Tab 2a Net Income change table</w:t>
            </w:r>
          </w:p>
          <w:p w14:paraId="28CED42D" w14:textId="77777777">
            <w:pPr>
              <w:pStyle w:val="ListParagraph"/>
              <w:numPr>
                <w:ilvl w:val="0"/>
                <w:numId w:val="2"/>
              </w:numPr>
              <w:spacing w:before="60" w:after="60"/>
            </w:pPr>
            <w:r>
              <w:rPr>
                <w:color w:val="1E293B"/>
              </w:rPr>
              <w:t>Tab 3 shows all six ratios calculated for both Pre-IPO and Post-IPO</w:t>
            </w:r>
          </w:p>
          <w:p w14:paraId="28CED42E" w14:textId="77777777">
            <w:pPr>
              <w:pStyle w:val="ListParagraph"/>
              <w:numPr>
                <w:ilvl w:val="0"/>
                <w:numId w:val="2"/>
              </w:numPr>
              <w:spacing w:before="60" w:after="60"/>
            </w:pPr>
            <w:r>
              <w:rPr>
                <w:color w:val="1E293B"/>
              </w:rPr>
              <w:t>Tab 4 shows all three scenarios completed and the Best Scenario Analysis section filled in</w:t>
            </w:r>
          </w:p>
          <w:p w14:paraId="28CED42F" w14:textId="77777777">
            <w:pPr>
              <w:pStyle w:val="ListParagraph"/>
              <w:numPr>
                <w:ilvl w:val="0"/>
                <w:numId w:val="2"/>
              </w:numPr>
              <w:spacing w:before="60" w:after="60"/>
            </w:pPr>
            <w:r>
              <w:rPr>
                <w:color w:val="1E293B"/>
              </w:rPr>
              <w:t>Your file is saved as</w:t>
            </w:r>
            <w:proofErr w:type="gramStart"/>
            <w:r>
              <w:rPr>
                <w:color w:val="1E293B"/>
              </w:rPr>
              <w:t>:  LastName_FirstName_ApexIPO.xlsx</w:t>
            </w:r>
            <w:proofErr w:type="gramEnd"/>
          </w:p>
          <w:p w14:paraId="28CED430" w14:textId="77777777">
            <w:pPr>
              <w:spacing w:before="80"/>
            </w:pPr>
          </w:p>
          <w:p w14:paraId="28CED431" w14:textId="0CB28EAE">
            <w:pPr>
              <w:spacing w:after="40"/>
            </w:pPr>
            <w:r>
              <w:rPr>
                <w:b/>
                <w:bCs/>
                <w:color w:val="1E2761"/>
              </w:rPr>
              <w:t>Submit to:</w:t>
            </w:r>
            <w:r>
              <w:rPr>
                <w:color w:val="1E293B"/>
              </w:rPr>
              <w:t xml:space="preserve">  </w:t>
            </w:r>
            <w:r>
              <w:rPr>
                <w:color w:val="1E293B"/>
              </w:rPr>
              <w:t>Canvas</w:t>
            </w:r>
            <w:r>
              <w:rPr>
                <w:color w:val="1E293B"/>
              </w:rPr>
              <w:t xml:space="preserve"> → Assignments → Chapter 7 — Apex IPO Valuation</w:t>
            </w:r>
          </w:p>
          <w:p w14:paraId="28CED432" w14:textId="6D7806AF">
            <w:r>
              <w:rPr>
                <w:b/>
                <w:bCs/>
                <w:color w:val="1E2761"/>
              </w:rPr>
              <w:t>Due:</w:t>
            </w:r>
            <w:r>
              <w:rPr>
                <w:color w:val="1E293B"/>
              </w:rPr>
              <w:t xml:space="preserve">  Next class </w:t>
            </w:r>
          </w:p>
        </w:tc>
      </w:tr>
    </w:tbl>
    <w:p w14:paraId="28CED434" w14:textId="77777777">
      <w:pPr>
        <w:spacing w:before="160"/>
      </w:pPr>
    </w:p>
    <w:p w14:paraId="28CED435" w14:textId="77777777">
      <w:pPr>
        <w:pBdr>
          <w:top w:val="single" w:sz="4" w:space="6" w:color="CADCFC"/>
        </w:pBdr>
        <w:spacing w:before="120"/>
        <w:jc w:val="center"/>
      </w:pPr>
      <w:r>
        <w:rPr>
          <w:color w:val="94A3B8"/>
          <w:sz w:val="18"/>
          <w:szCs w:val="18"/>
        </w:rPr>
        <w:t xml:space="preserve">BUS 311 Corporate </w:t>
      </w:r>
      <w:proofErr w:type="gramStart"/>
      <w:r>
        <w:rPr>
          <w:color w:val="94A3B8"/>
          <w:sz w:val="18"/>
          <w:szCs w:val="18"/>
        </w:rPr>
        <w:t>Finance  |</w:t>
      </w:r>
      <w:proofErr w:type="gramEnd"/>
      <w:r>
        <w:rPr>
          <w:color w:val="94A3B8"/>
          <w:sz w:val="18"/>
          <w:szCs w:val="18"/>
        </w:rPr>
        <w:t xml:space="preserve">  Brealey, Myers &amp; Marcus — Fundamentals of Corporate Finance, Chapter </w:t>
      </w:r>
      <w:proofErr w:type="gramStart"/>
      <w:r>
        <w:rPr>
          <w:color w:val="94A3B8"/>
          <w:sz w:val="18"/>
          <w:szCs w:val="18"/>
        </w:rPr>
        <w:t>7  |</w:t>
      </w:r>
      <w:proofErr w:type="gramEnd"/>
      <w:r>
        <w:rPr>
          <w:color w:val="94A3B8"/>
          <w:sz w:val="18"/>
          <w:szCs w:val="18"/>
        </w:rPr>
        <w:t xml:space="preserve">  Apex Technology Corp. is a fictional company created for instructional purposes.</w:t>
      </w:r>
    </w:p>
    <w:sectPr>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D26E4" w14:textId="77777777">
      <w:r>
        <w:separator/>
      </w:r>
    </w:p>
  </w:endnote>
  <w:endnote w:type="continuationSeparator" w:id="0">
    <w:p w14:paraId="30CB68C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ED439" w14:textId="77777777">
    <w:pPr>
      <w:pBdr>
        <w:top w:val="single" w:sz="4" w:space="4" w:color="CADCFC"/>
      </w:pBdr>
      <w:tabs>
        <w:tab w:val="right" w:pos="9026"/>
      </w:tabs>
    </w:pPr>
    <w:r>
      <w:rPr>
        <w:color w:val="94A3B8"/>
        <w:sz w:val="18"/>
        <w:szCs w:val="18"/>
      </w:rPr>
      <w:t>Apex Technology IPO Valuation Assignment</w:t>
    </w:r>
    <w:r>
      <w:rPr>
        <w:color w:val="94A3B8"/>
        <w:sz w:val="18"/>
        <w:szCs w:val="18"/>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AB17E" w14:textId="77777777">
      <w:r>
        <w:separator/>
      </w:r>
    </w:p>
  </w:footnote>
  <w:footnote w:type="continuationSeparator" w:id="0">
    <w:p w14:paraId="7209575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3080"/>
    </w:tblGrid>
    <w:tr w14:paraId="28CED438"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1E2761"/>
          <w:tcMar>
            <w:top w:w="80" w:type="dxa"/>
            <w:left w:w="160" w:type="dxa"/>
            <w:bottom w:w="80" w:type="dxa"/>
            <w:right w:w="80" w:type="dxa"/>
          </w:tcMar>
        </w:tcPr>
        <w:p w14:paraId="28CED436" w14:textId="77777777">
          <w:r>
            <w:rPr>
              <w:color w:val="FFFFFF"/>
              <w:sz w:val="18"/>
              <w:szCs w:val="18"/>
            </w:rPr>
            <w:t xml:space="preserve">BUS 311 Corporate </w:t>
          </w:r>
          <w:proofErr w:type="gramStart"/>
          <w:r>
            <w:rPr>
              <w:color w:val="FFFFFF"/>
              <w:sz w:val="18"/>
              <w:szCs w:val="18"/>
            </w:rPr>
            <w:t>Finance  |</w:t>
          </w:r>
          <w:proofErr w:type="gramEnd"/>
          <w:r>
            <w:rPr>
              <w:color w:val="FFFFFF"/>
              <w:sz w:val="18"/>
              <w:szCs w:val="18"/>
            </w:rPr>
            <w:t xml:space="preserve">  Apex Technology Corp. — IPO Assignment</w:t>
          </w:r>
        </w:p>
      </w:tc>
      <w:tc>
        <w:tcPr>
          <w:tcW w:w="3080" w:type="dxa"/>
          <w:tcBorders>
            <w:top w:val="none" w:sz="0" w:space="0" w:color="FFFFFF"/>
            <w:left w:val="none" w:sz="0" w:space="0" w:color="FFFFFF"/>
            <w:bottom w:val="none" w:sz="0" w:space="0" w:color="FFFFFF"/>
            <w:right w:val="none" w:sz="0" w:space="0" w:color="FFFFFF"/>
          </w:tcBorders>
          <w:shd w:val="clear" w:color="auto" w:fill="C9A84C"/>
          <w:tcMar>
            <w:top w:w="80" w:type="dxa"/>
            <w:left w:w="80" w:type="dxa"/>
            <w:bottom w:w="80" w:type="dxa"/>
            <w:right w:w="160" w:type="dxa"/>
          </w:tcMar>
        </w:tcPr>
        <w:p w14:paraId="28CED437" w14:textId="77777777">
          <w:pPr>
            <w:jc w:val="right"/>
          </w:pPr>
          <w:r>
            <w:rPr>
              <w:b/>
              <w:bCs/>
              <w:color w:val="1E2761"/>
              <w:sz w:val="18"/>
              <w:szCs w:val="18"/>
            </w:rPr>
            <w:t>Chapter 7: Equity Valuation</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130D"/>
    <w:multiLevelType w:val="hybridMultilevel"/>
    <w:tmpl w:val="8B76B910"/>
    <w:lvl w:ilvl="0" w:tplc="FFFFFFFF">
      <w:start w:val="1"/>
      <w:numFmt w:val="decimal"/>
      <w:lvlText w:val="%1."/>
      <w:lvlJc w:val="left"/>
      <w:pPr>
        <w:ind w:left="540" w:hanging="28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17F4C52"/>
    <w:multiLevelType w:val="hybridMultilevel"/>
    <w:tmpl w:val="2320F0A8"/>
    <w:lvl w:ilvl="0" w:tplc="13CE0ABC">
      <w:start w:val="1"/>
      <w:numFmt w:val="bullet"/>
      <w:lvlText w:val="●"/>
      <w:lvlJc w:val="left"/>
      <w:pPr>
        <w:ind w:left="720" w:hanging="360"/>
      </w:pPr>
    </w:lvl>
    <w:lvl w:ilvl="1" w:tplc="0EF083C6">
      <w:start w:val="1"/>
      <w:numFmt w:val="bullet"/>
      <w:lvlText w:val="○"/>
      <w:lvlJc w:val="left"/>
      <w:pPr>
        <w:ind w:left="1440" w:hanging="360"/>
      </w:pPr>
    </w:lvl>
    <w:lvl w:ilvl="2" w:tplc="BF92C000">
      <w:start w:val="1"/>
      <w:numFmt w:val="bullet"/>
      <w:lvlText w:val="■"/>
      <w:lvlJc w:val="left"/>
      <w:pPr>
        <w:ind w:left="2160" w:hanging="360"/>
      </w:pPr>
    </w:lvl>
    <w:lvl w:ilvl="3" w:tplc="3B7EE30E">
      <w:start w:val="1"/>
      <w:numFmt w:val="bullet"/>
      <w:lvlText w:val="●"/>
      <w:lvlJc w:val="left"/>
      <w:pPr>
        <w:ind w:left="2880" w:hanging="360"/>
      </w:pPr>
    </w:lvl>
    <w:lvl w:ilvl="4" w:tplc="55EE16C2">
      <w:start w:val="1"/>
      <w:numFmt w:val="bullet"/>
      <w:lvlText w:val="○"/>
      <w:lvlJc w:val="left"/>
      <w:pPr>
        <w:ind w:left="3600" w:hanging="360"/>
      </w:pPr>
    </w:lvl>
    <w:lvl w:ilvl="5" w:tplc="6BAAF28E">
      <w:start w:val="1"/>
      <w:numFmt w:val="bullet"/>
      <w:lvlText w:val="■"/>
      <w:lvlJc w:val="left"/>
      <w:pPr>
        <w:ind w:left="4320" w:hanging="360"/>
      </w:pPr>
    </w:lvl>
    <w:lvl w:ilvl="6" w:tplc="C3622618">
      <w:start w:val="1"/>
      <w:numFmt w:val="bullet"/>
      <w:lvlText w:val="●"/>
      <w:lvlJc w:val="left"/>
      <w:pPr>
        <w:ind w:left="5040" w:hanging="360"/>
      </w:pPr>
    </w:lvl>
    <w:lvl w:ilvl="7" w:tplc="F1F83B7C">
      <w:start w:val="1"/>
      <w:numFmt w:val="bullet"/>
      <w:lvlText w:val="●"/>
      <w:lvlJc w:val="left"/>
      <w:pPr>
        <w:ind w:left="5760" w:hanging="360"/>
      </w:pPr>
    </w:lvl>
    <w:lvl w:ilvl="8" w:tplc="7BA4ADAA">
      <w:start w:val="1"/>
      <w:numFmt w:val="bullet"/>
      <w:lvlText w:val="●"/>
      <w:lvlJc w:val="left"/>
      <w:pPr>
        <w:ind w:left="6480" w:hanging="360"/>
      </w:pPr>
    </w:lvl>
  </w:abstractNum>
  <w:abstractNum w:abstractNumId="2" w15:restartNumberingAfterBreak="0">
    <w:nsid w:val="389D19FC"/>
    <w:multiLevelType w:val="hybridMultilevel"/>
    <w:tmpl w:val="087A973E"/>
    <w:lvl w:ilvl="0" w:tplc="8D740A90">
      <w:start w:val="1"/>
      <w:numFmt w:val="bullet"/>
      <w:lvlText w:val="◦"/>
      <w:lvlJc w:val="left"/>
      <w:pPr>
        <w:ind w:left="900" w:hanging="280"/>
      </w:pPr>
    </w:lvl>
    <w:lvl w:ilvl="1" w:tplc="96A0EA7E">
      <w:numFmt w:val="decimal"/>
      <w:lvlText w:val=""/>
      <w:lvlJc w:val="left"/>
    </w:lvl>
    <w:lvl w:ilvl="2" w:tplc="6CAECC0E">
      <w:numFmt w:val="decimal"/>
      <w:lvlText w:val=""/>
      <w:lvlJc w:val="left"/>
    </w:lvl>
    <w:lvl w:ilvl="3" w:tplc="D0A61518">
      <w:numFmt w:val="decimal"/>
      <w:lvlText w:val=""/>
      <w:lvlJc w:val="left"/>
    </w:lvl>
    <w:lvl w:ilvl="4" w:tplc="82BE3890">
      <w:numFmt w:val="decimal"/>
      <w:lvlText w:val=""/>
      <w:lvlJc w:val="left"/>
    </w:lvl>
    <w:lvl w:ilvl="5" w:tplc="62DE4DB6">
      <w:numFmt w:val="decimal"/>
      <w:lvlText w:val=""/>
      <w:lvlJc w:val="left"/>
    </w:lvl>
    <w:lvl w:ilvl="6" w:tplc="C18EE0C8">
      <w:numFmt w:val="decimal"/>
      <w:lvlText w:val=""/>
      <w:lvlJc w:val="left"/>
    </w:lvl>
    <w:lvl w:ilvl="7" w:tplc="EBA26D36">
      <w:numFmt w:val="decimal"/>
      <w:lvlText w:val=""/>
      <w:lvlJc w:val="left"/>
    </w:lvl>
    <w:lvl w:ilvl="8" w:tplc="4D6694B8">
      <w:numFmt w:val="decimal"/>
      <w:lvlText w:val=""/>
      <w:lvlJc w:val="left"/>
    </w:lvl>
  </w:abstractNum>
  <w:abstractNum w:abstractNumId="3" w15:restartNumberingAfterBreak="0">
    <w:nsid w:val="3F4D3D56"/>
    <w:multiLevelType w:val="hybridMultilevel"/>
    <w:tmpl w:val="8B76B910"/>
    <w:lvl w:ilvl="0" w:tplc="4D0A10E6">
      <w:start w:val="1"/>
      <w:numFmt w:val="decimal"/>
      <w:lvlText w:val="%1."/>
      <w:lvlJc w:val="left"/>
      <w:pPr>
        <w:ind w:left="540" w:hanging="280"/>
      </w:pPr>
    </w:lvl>
    <w:lvl w:ilvl="1" w:tplc="9D90478E">
      <w:numFmt w:val="decimal"/>
      <w:lvlText w:val=""/>
      <w:lvlJc w:val="left"/>
    </w:lvl>
    <w:lvl w:ilvl="2" w:tplc="682A8388">
      <w:numFmt w:val="decimal"/>
      <w:lvlText w:val=""/>
      <w:lvlJc w:val="left"/>
    </w:lvl>
    <w:lvl w:ilvl="3" w:tplc="997462A0">
      <w:numFmt w:val="decimal"/>
      <w:lvlText w:val=""/>
      <w:lvlJc w:val="left"/>
    </w:lvl>
    <w:lvl w:ilvl="4" w:tplc="2174DC2C">
      <w:numFmt w:val="decimal"/>
      <w:lvlText w:val=""/>
      <w:lvlJc w:val="left"/>
    </w:lvl>
    <w:lvl w:ilvl="5" w:tplc="FF78470A">
      <w:numFmt w:val="decimal"/>
      <w:lvlText w:val=""/>
      <w:lvlJc w:val="left"/>
    </w:lvl>
    <w:lvl w:ilvl="6" w:tplc="C2082DF0">
      <w:numFmt w:val="decimal"/>
      <w:lvlText w:val=""/>
      <w:lvlJc w:val="left"/>
    </w:lvl>
    <w:lvl w:ilvl="7" w:tplc="D77A0416">
      <w:numFmt w:val="decimal"/>
      <w:lvlText w:val=""/>
      <w:lvlJc w:val="left"/>
    </w:lvl>
    <w:lvl w:ilvl="8" w:tplc="165290FA">
      <w:numFmt w:val="decimal"/>
      <w:lvlText w:val=""/>
      <w:lvlJc w:val="left"/>
    </w:lvl>
  </w:abstractNum>
  <w:abstractNum w:abstractNumId="4" w15:restartNumberingAfterBreak="0">
    <w:nsid w:val="4D2A7986"/>
    <w:multiLevelType w:val="hybridMultilevel"/>
    <w:tmpl w:val="9DF41748"/>
    <w:lvl w:ilvl="0" w:tplc="9D927AD0">
      <w:start w:val="1"/>
      <w:numFmt w:val="bullet"/>
      <w:lvlText w:val="•"/>
      <w:lvlJc w:val="left"/>
      <w:pPr>
        <w:ind w:left="540" w:hanging="280"/>
      </w:pPr>
    </w:lvl>
    <w:lvl w:ilvl="1" w:tplc="FC866290">
      <w:numFmt w:val="decimal"/>
      <w:lvlText w:val=""/>
      <w:lvlJc w:val="left"/>
    </w:lvl>
    <w:lvl w:ilvl="2" w:tplc="C150C464">
      <w:numFmt w:val="decimal"/>
      <w:lvlText w:val=""/>
      <w:lvlJc w:val="left"/>
    </w:lvl>
    <w:lvl w:ilvl="3" w:tplc="C18E1206">
      <w:numFmt w:val="decimal"/>
      <w:lvlText w:val=""/>
      <w:lvlJc w:val="left"/>
    </w:lvl>
    <w:lvl w:ilvl="4" w:tplc="D998329A">
      <w:numFmt w:val="decimal"/>
      <w:lvlText w:val=""/>
      <w:lvlJc w:val="left"/>
    </w:lvl>
    <w:lvl w:ilvl="5" w:tplc="A2D0B046">
      <w:numFmt w:val="decimal"/>
      <w:lvlText w:val=""/>
      <w:lvlJc w:val="left"/>
    </w:lvl>
    <w:lvl w:ilvl="6" w:tplc="FE2CACF4">
      <w:numFmt w:val="decimal"/>
      <w:lvlText w:val=""/>
      <w:lvlJc w:val="left"/>
    </w:lvl>
    <w:lvl w:ilvl="7" w:tplc="89CE1A4A">
      <w:numFmt w:val="decimal"/>
      <w:lvlText w:val=""/>
      <w:lvlJc w:val="left"/>
    </w:lvl>
    <w:lvl w:ilvl="8" w:tplc="0C9AF054">
      <w:numFmt w:val="decimal"/>
      <w:lvlText w:val=""/>
      <w:lvlJc w:val="left"/>
    </w:lvl>
  </w:abstractNum>
  <w:num w:numId="1" w16cid:durableId="1427842004">
    <w:abstractNumId w:val="1"/>
    <w:lvlOverride w:ilvl="0">
      <w:startOverride w:val="1"/>
    </w:lvlOverride>
  </w:num>
  <w:num w:numId="2" w16cid:durableId="2122339410">
    <w:abstractNumId w:val="4"/>
    <w:lvlOverride w:ilvl="0">
      <w:startOverride w:val="1"/>
    </w:lvlOverride>
  </w:num>
  <w:num w:numId="3" w16cid:durableId="611666295">
    <w:abstractNumId w:val="3"/>
    <w:lvlOverride w:ilvl="0">
      <w:startOverride w:val="1"/>
    </w:lvlOverride>
  </w:num>
  <w:num w:numId="4" w16cid:durableId="312102119">
    <w:abstractNumId w:val="3"/>
  </w:num>
  <w:num w:numId="5" w16cid:durableId="330186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Version" w:val="5.0"/>
  </w:docVars>
  <w:rsids>
    <w:rsidRoot w:val="000D4F4E"/>
    <w:rsid w:val="000D4F4E"/>
    <w:rsid w:val="002F60C7"/>
    <w:rsid w:val="00365A82"/>
    <w:rsid w:val="00386E61"/>
    <w:rsid w:val="004D4EF0"/>
    <w:rsid w:val="00544445"/>
    <w:rsid w:val="005C1CEA"/>
    <w:rsid w:val="00737D81"/>
    <w:rsid w:val="00782DEA"/>
    <w:rsid w:val="007E2F70"/>
    <w:rsid w:val="009711B3"/>
    <w:rsid w:val="00AE5FFB"/>
    <w:rsid w:val="00BE06D0"/>
    <w:rsid w:val="00CA19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ED2F7"/>
  <w15:docId w15:val="{05FEC382-B4CD-45F3-83DD-A18D526AA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1974</Words>
  <Characters>10288</Characters>
  <Application>Microsoft Office Word</Application>
  <DocSecurity>0</DocSecurity>
  <Lines>342</Lines>
  <Paragraphs>255</Paragraphs>
  <ScaleCrop>false</ScaleCrop>
  <Company/>
  <LinksUpToDate>false</LinksUpToDate>
  <CharactersWithSpaces>12007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12</cp:revision>
  <dcterms:created xsi:type="dcterms:W3CDTF">2026-03-03T18:05:00Z</dcterms:created>
  <dcterms:modified xsi:type="dcterms:W3CDTF">2026-03-04T19:57:00Z</dcterms:modified>
</cp:coreProperties>
</file>