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pPr>
      <w:r>
        <w:rPr>
          <w:rFonts w:ascii="Calibri" w:hAnsi="Calibri"/>
          <w:b/>
          <w:i w:val="0"/>
          <w:color w:val="17365D"/>
          <w:sz w:val="48"/>
        </w:rPr>
        <w:t>BUS311 Individual Company Capstone</w:t>
      </w:r>
    </w:p>
    <w:p>
      <w:pPr>
        <w:pStyle w:val="Subtitle"/>
      </w:pPr>
      <w:r>
        <w:rPr>
          <w:rFonts w:ascii="Calibri" w:hAnsi="Calibri"/>
          <w:b w:val="0"/>
          <w:i w:val="0"/>
          <w:color w:val="5B6573"/>
          <w:sz w:val="26"/>
        </w:rPr>
        <w:t>CFO and Board Decision Brief | Fall 2026</w:t>
      </w:r>
    </w:p>
    <w:p>
      <w:pPr>
        <w:spacing w:after="40" w:line="240" w:lineRule="auto"/>
      </w:pPr>
      <w:r>
        <w:rPr>
          <w:rFonts w:ascii="Calibri" w:hAnsi="Calibri"/>
          <w:b/>
          <w:i w:val="0"/>
          <w:color w:val="17365D"/>
          <w:sz w:val="21"/>
        </w:rPr>
        <w:t xml:space="preserve">Project: </w:t>
      </w:r>
      <w:r>
        <w:rPr>
          <w:rFonts w:ascii="Calibri" w:hAnsi="Calibri"/>
          <w:b w:val="0"/>
          <w:i w:val="0"/>
          <w:color w:val="1F2937"/>
          <w:sz w:val="21"/>
        </w:rPr>
        <w:t>Individual analysis of one publicly traded U.S. company</w:t>
      </w:r>
    </w:p>
    <w:p>
      <w:pPr>
        <w:spacing w:after="40" w:line="240" w:lineRule="auto"/>
      </w:pPr>
      <w:r>
        <w:rPr>
          <w:rFonts w:ascii="Calibri" w:hAnsi="Calibri"/>
          <w:b/>
          <w:i w:val="0"/>
          <w:color w:val="17365D"/>
          <w:sz w:val="21"/>
        </w:rPr>
        <w:t xml:space="preserve">Audience: </w:t>
      </w:r>
      <w:r>
        <w:rPr>
          <w:rFonts w:ascii="Calibri" w:hAnsi="Calibri"/>
          <w:b w:val="0"/>
          <w:i w:val="0"/>
          <w:color w:val="1F2937"/>
          <w:sz w:val="21"/>
        </w:rPr>
        <w:t>The selected company's CFO and Board</w:t>
      </w:r>
    </w:p>
    <w:p>
      <w:pPr>
        <w:spacing w:after="40" w:line="240" w:lineRule="auto"/>
      </w:pPr>
      <w:r>
        <w:rPr>
          <w:rFonts w:ascii="Calibri" w:hAnsi="Calibri"/>
          <w:b/>
          <w:i w:val="0"/>
          <w:color w:val="17365D"/>
          <w:sz w:val="21"/>
        </w:rPr>
        <w:t xml:space="preserve">Term: </w:t>
      </w:r>
      <w:r>
        <w:rPr>
          <w:rFonts w:ascii="Calibri" w:hAnsi="Calibri"/>
          <w:b w:val="0"/>
          <w:i w:val="0"/>
          <w:color w:val="1F2937"/>
          <w:sz w:val="21"/>
        </w:rPr>
        <w:t>Fall 2026</w:t>
      </w:r>
    </w:p>
    <w:p>
      <w:pPr>
        <w:spacing w:after="40" w:line="240" w:lineRule="auto"/>
      </w:pPr>
      <w:r>
        <w:rPr>
          <w:rFonts w:ascii="Calibri" w:hAnsi="Calibri"/>
          <w:b/>
          <w:i w:val="0"/>
          <w:color w:val="17365D"/>
          <w:sz w:val="21"/>
        </w:rPr>
        <w:t>Status: Approved student release | Canonical source version 1.0.0 | Updated: July 30, 2026</w:t>
      </w:r>
      <w:r>
        <w:rPr>
          <w:rFonts w:ascii="Calibri" w:hAnsi="Calibri"/>
          <w:b w:val="0"/>
          <w:i w:val="0"/>
          <w:color w:val="1F2937"/>
          <w:sz w:val="21"/>
        </w:rPr>
      </w:r>
    </w:p>
    <w:p>
      <w:pPr>
        <w:spacing w:before="80" w:after="200"/>
        <w:pBdr>
          <w:bottom w:val="single" w:sz="14" w:space="6" w:color="2E74B5"/>
        </w:pBdr>
      </w:pPr>
    </w:p>
    <w:p>
      <w:r>
        <w:rPr>
          <w:rFonts w:ascii="Calibri" w:hAnsi="Calibri"/>
          <w:b w:val="0"/>
          <w:i w:val="0"/>
          <w:color w:val="1F2937"/>
          <w:sz w:val="22"/>
        </w:rPr>
        <w:t>This assignment is an individual, semester-long corporate finance project. You will select one publicly traded U.S. company, investigate how the company generates revenue and value, propose one company-specific CFO decision for instructor approval, and defend an implementable recommendation to the company's CFO and Board.</w:t>
      </w:r>
    </w:p>
    <w:p>
      <w:pPr>
        <w:pStyle w:val="Heading1"/>
      </w:pPr>
      <w:r>
        <w:rPr>
          <w:rFonts w:ascii="Calibri" w:hAnsi="Calibri"/>
          <w:b/>
          <w:i w:val="0"/>
          <w:color w:val="2E74B5"/>
          <w:sz w:val="32"/>
        </w:rPr>
        <w:t>At a glance</w:t>
      </w:r>
    </w:p>
    <w:tbl>
      <w:tblPr>
        <w:tblStyle w:val="TableGrid"/>
        <w:tblW w:type="dxa" w:w="9360"/>
        <w:jc w:val="left"/>
        <w:tblLayout w:type="fixed"/>
        <w:tblLook w:firstColumn="1" w:firstRow="1" w:lastColumn="0" w:lastRow="0" w:noHBand="0" w:noVBand="1" w:val="04A0"/>
        <w:tblInd w:type="dxa" w:w="120"/>
      </w:tblPr>
      <w:tblGrid>
        <w:gridCol w:w="2736"/>
        <w:gridCol w:w="6624"/>
      </w:tblGrid>
      <w:tr>
        <w:trPr>
          <w:cantSplit w:val="true"/>
          <w:tblHeader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Requirement</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Standard</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Ownership</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Individual work; one company per student</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One instructor-approved, publicly traded U.S. company</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Primary audience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The selected company's CFO and Board</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Decision</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One material, company-specific CFO decision, with two or three supporting actions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Required analytical spine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3-5 years of sales performance, revenue drivers, testable revenue hypothesis, valuation and scenarios, and an implementable recommendation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Evidence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SEC filings, FactSet, Excel analysis, and other credible named sources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AI</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Exactly four bounded free-tier checkpoints; AI may challenge but may not replace your analysis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Final communication files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An 8-10-slide PPTX Board presentation, with optional analytical appendix slides, plus a one-page executive summary PDF</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Excel</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Required and assessed at the valuation milestone; not a third final communication file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Presentation</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7-minute Board briefing plus 3 minutes of individual Q&amp;A</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Project value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100 project points, equal to 25% of the BUS311 course grade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Final-file deadline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Monday, Nov. 30, 2026 at 12:30 p.m. ET, when class begins</w:t>
            </w:r>
          </w:p>
        </w:tc>
      </w:tr>
    </w:tbl>
    <w:p>
      <w:pPr>
        <w:spacing w:after="40"/>
      </w:pPr>
    </w:p>
    <w:p>
      <w:pPr>
        <w:pStyle w:val="Heading1"/>
      </w:pPr>
      <w:r>
        <w:rPr>
          <w:rFonts w:ascii="Calibri" w:hAnsi="Calibri"/>
          <w:b/>
          <w:i w:val="0"/>
          <w:color w:val="2E74B5"/>
          <w:sz w:val="32"/>
        </w:rPr>
        <w:t>Purpose</w:t>
      </w:r>
    </w:p>
    <w:p>
      <w:r>
        <w:rPr>
          <w:rFonts w:ascii="Calibri" w:hAnsi="Calibri"/>
          <w:b w:val="0"/>
          <w:i w:val="0"/>
          <w:color w:val="1F2937"/>
          <w:sz w:val="22"/>
        </w:rPr>
        <w:t>Corporate finance is not only about calculating a value. It is about deciding what a company should do, explaining why, and showing how the decision can be implemented and monitored. This capstone asks you to connect a company's operating reality to finance: how sales are generated, what drives future cash flows, what assumptions matter, how value changes across scenarios, and what action the CFO should recommend to the Board.</w:t>
      </w:r>
    </w:p>
    <w:p>
      <w:r>
        <w:rPr>
          <w:rFonts w:ascii="Calibri" w:hAnsi="Calibri"/>
          <w:b w:val="0"/>
          <w:i w:val="0"/>
          <w:color w:val="1F2937"/>
          <w:sz w:val="22"/>
        </w:rPr>
        <w:t>Your work should answer one central question:</w:t>
      </w:r>
    </w:p>
    <w:p>
      <w:pPr>
        <w:pStyle w:val="Quote"/>
        <w:shd w:fill="E8EEF5"/>
        <w:pBdr>
          <w:left w:val="single" w:sz="18" w:space="8" w:color="2E74B5"/>
        </w:pBdr>
      </w:pPr>
      <w:r>
        <w:rPr>
          <w:rFonts w:ascii="Calibri" w:hAnsi="Calibri"/>
          <w:b w:val="0"/>
          <w:i/>
          <w:color w:val="17365D"/>
          <w:sz w:val="23"/>
        </w:rPr>
        <w:t>Given the company's revenue engine, financial position, market expectations, and risks, what specific action should the CFO recommend to the Board, and what evidence would make that decision credible and implementable?</w:t>
      </w:r>
    </w:p>
    <w:p>
      <w:r>
        <w:rPr>
          <w:rFonts w:ascii="Calibri" w:hAnsi="Calibri"/>
          <w:b w:val="0"/>
          <w:i w:val="0"/>
          <w:color w:val="1F2937"/>
          <w:sz w:val="22"/>
        </w:rPr>
        <w:t>Market valuation is supporting evidence. A Buy/Hold/Sell rating is not required and will not substitute for a CFO decision.</w:t>
      </w:r>
    </w:p>
    <w:p>
      <w:pPr>
        <w:pStyle w:val="Heading1"/>
      </w:pPr>
      <w:r>
        <w:rPr>
          <w:rFonts w:ascii="Calibri" w:hAnsi="Calibri"/>
          <w:b/>
          <w:i w:val="0"/>
          <w:color w:val="2E74B5"/>
          <w:sz w:val="32"/>
        </w:rPr>
        <w:t>Learning outcomes</w:t>
      </w:r>
    </w:p>
    <w:p>
      <w:r>
        <w:rPr>
          <w:rFonts w:ascii="Calibri" w:hAnsi="Calibri"/>
          <w:b w:val="0"/>
          <w:i w:val="0"/>
          <w:color w:val="1F2937"/>
          <w:sz w:val="22"/>
        </w:rPr>
        <w:t>The capstone integrates BUS311 learning outcomes LO2-LO6. By completing it, you will demonstrate that you can:</w:t>
      </w:r>
    </w:p>
    <w:tbl>
      <w:tblPr>
        <w:tblStyle w:val="TableGrid"/>
        <w:tblW w:type="dxa" w:w="9360"/>
        <w:jc w:val="left"/>
        <w:tblLayout w:type="fixed"/>
        <w:tblLook w:firstColumn="1" w:firstRow="1" w:lastColumn="0" w:lastRow="0" w:noHBand="0" w:noVBand="1" w:val="04A0"/>
        <w:tblInd w:type="dxa" w:w="120"/>
      </w:tblPr>
      <w:tblGrid>
        <w:gridCol w:w="2736"/>
        <w:gridCol w:w="6624"/>
      </w:tblGrid>
      <w:tr>
        <w:trPr>
          <w:cantSplit w:val="true"/>
          <w:tblHeader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Learning outcome</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Capstone evidence</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LO2:</w:t>
            </w:r>
            <w:r>
              <w:rPr>
                <w:rFonts w:ascii="Calibri" w:hAnsi="Calibri"/>
                <w:b w:val="0"/>
                <w:i w:val="0"/>
                <w:color w:val="1F2937"/>
                <w:sz w:val="18"/>
              </w:rPr>
              <w:t xml:space="preserve"> Explain the key financial statements and the information each provides.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Use the income statement, balance sheet, cash-flow statement, and filing notes to explain revenue, profitability, reinvestment, financing, and cash generation.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LO3:</w:t>
            </w:r>
            <w:r>
              <w:rPr>
                <w:rFonts w:ascii="Calibri" w:hAnsi="Calibri"/>
                <w:b w:val="0"/>
                <w:i w:val="0"/>
                <w:color w:val="1F2937"/>
                <w:sz w:val="18"/>
              </w:rPr>
              <w:t xml:space="preserve"> Conduct ratio analysis using balance sheets and income statements.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Calculate and interpret company trends and relevant peer ratios, then connect them to operating performance and the CFO decision.</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LO4:</w:t>
            </w:r>
            <w:r>
              <w:rPr>
                <w:rFonts w:ascii="Calibri" w:hAnsi="Calibri"/>
                <w:b w:val="0"/>
                <w:i w:val="0"/>
                <w:color w:val="1F2937"/>
                <w:sz w:val="18"/>
              </w:rPr>
              <w:t xml:space="preserve"> Apply time value of money principles to present value, future value, and yield-to-maturity calculations.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Use discounted cash-flow or other instructor-approved valuation methods and explain the timing and discounting of cash flows.</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LO5:</w:t>
            </w:r>
            <w:r>
              <w:rPr>
                <w:rFonts w:ascii="Calibri" w:hAnsi="Calibri"/>
                <w:b w:val="0"/>
                <w:i w:val="0"/>
                <w:color w:val="1F2937"/>
                <w:sz w:val="18"/>
              </w:rPr>
              <w:t xml:space="preserve"> Explain factors affecting the cost of money, interest rates, bond markets, and stock markets.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Evaluate discount rates, financing conditions, market expectations, capital structure, and scenario risk where relevant to the company.</w:t>
            </w:r>
          </w:p>
        </w:tc>
      </w:tr>
      <w:tr>
        <w:trPr>
          <w:cantSplit w:val="true"/>
        </w:trPr>
        <w:tc>
          <w:tcPr>
            <w:tcW w:type="dxa" w:w="27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LO6:</w:t>
            </w:r>
            <w:r>
              <w:rPr>
                <w:rFonts w:ascii="Calibri" w:hAnsi="Calibri"/>
                <w:b w:val="0"/>
                <w:i w:val="0"/>
                <w:color w:val="1F2937"/>
                <w:sz w:val="18"/>
              </w:rPr>
              <w:t xml:space="preserve"> Evaluate long-term capital-budgeting decisions.</w:t>
            </w:r>
          </w:p>
        </w:tc>
        <w:tc>
          <w:tcPr>
            <w:tcW w:type="dxa" w:w="662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Compare alternatives using incremental cash flows, value creation, risk, implementation constraints, and decision criteria appropriate to the approved CFO question.</w:t>
            </w:r>
          </w:p>
        </w:tc>
      </w:tr>
    </w:tbl>
    <w:p>
      <w:pPr>
        <w:spacing w:after="40"/>
      </w:pPr>
    </w:p>
    <w:p>
      <w:pPr>
        <w:pStyle w:val="Heading1"/>
      </w:pPr>
      <w:r>
        <w:rPr>
          <w:rFonts w:ascii="Calibri" w:hAnsi="Calibri"/>
          <w:b/>
          <w:i w:val="0"/>
          <w:color w:val="2E74B5"/>
          <w:sz w:val="32"/>
        </w:rPr>
        <w:t>Your role and required decision</w:t>
      </w:r>
    </w:p>
    <w:p>
      <w:r>
        <w:rPr>
          <w:rFonts w:ascii="Calibri" w:hAnsi="Calibri"/>
          <w:b w:val="0"/>
          <w:i w:val="0"/>
          <w:color w:val="1F2937"/>
          <w:sz w:val="22"/>
        </w:rPr>
        <w:t>Act as an internal corporate finance analyst advising the selected company's CFO and Board. Your job is to recommend one primary decision, not to summarize the company or issue an investor rating.</w:t>
      </w:r>
    </w:p>
    <w:p>
      <w:r>
        <w:rPr>
          <w:rFonts w:ascii="Calibri" w:hAnsi="Calibri"/>
          <w:b w:val="0"/>
          <w:i w:val="0"/>
          <w:color w:val="1F2937"/>
          <w:sz w:val="22"/>
        </w:rPr>
        <w:t>Your decision proposal must:</w:t>
      </w:r>
    </w:p>
    <w:p>
      <w:pPr>
        <w:numPr>
          <w:ilvl w:val="0"/>
          <w:numId w:val="12"/>
        </w:numPr>
      </w:pPr>
      <w:r>
        <w:rPr>
          <w:rFonts w:ascii="Calibri" w:hAnsi="Calibri"/>
          <w:b w:val="0"/>
          <w:i w:val="0"/>
          <w:color w:val="1F2937"/>
          <w:sz w:val="22"/>
        </w:rPr>
        <w:t>Ask one specific question that the CFO and Board could act on.</w:t>
      </w:r>
    </w:p>
    <w:p>
      <w:pPr>
        <w:numPr>
          <w:ilvl w:val="0"/>
          <w:numId w:val="12"/>
        </w:numPr>
      </w:pPr>
      <w:r>
        <w:rPr>
          <w:rFonts w:ascii="Calibri" w:hAnsi="Calibri"/>
          <w:b w:val="0"/>
          <w:i w:val="0"/>
          <w:color w:val="1F2937"/>
          <w:sz w:val="22"/>
        </w:rPr>
        <w:t>Address a material company issue with genuine alternatives.</w:t>
      </w:r>
    </w:p>
    <w:p>
      <w:pPr>
        <w:numPr>
          <w:ilvl w:val="0"/>
          <w:numId w:val="12"/>
        </w:numPr>
      </w:pPr>
      <w:r>
        <w:rPr>
          <w:rFonts w:ascii="Calibri" w:hAnsi="Calibri"/>
          <w:b w:val="0"/>
          <w:i w:val="0"/>
          <w:color w:val="1F2937"/>
          <w:sz w:val="22"/>
        </w:rPr>
        <w:t>Identify two or three supporting actions that make the primary decision implementable.</w:t>
      </w:r>
    </w:p>
    <w:p>
      <w:pPr>
        <w:numPr>
          <w:ilvl w:val="0"/>
          <w:numId w:val="12"/>
        </w:numPr>
      </w:pPr>
      <w:r>
        <w:rPr>
          <w:rFonts w:ascii="Calibri" w:hAnsi="Calibri"/>
          <w:b w:val="0"/>
          <w:i w:val="0"/>
          <w:color w:val="1F2937"/>
          <w:sz w:val="22"/>
        </w:rPr>
        <w:t>Require quantitative evidence and at least two BUS311 concepts.</w:t>
      </w:r>
    </w:p>
    <w:p>
      <w:pPr>
        <w:numPr>
          <w:ilvl w:val="0"/>
          <w:numId w:val="12"/>
        </w:numPr>
      </w:pPr>
      <w:r>
        <w:rPr>
          <w:rFonts w:ascii="Calibri" w:hAnsi="Calibri"/>
          <w:b w:val="0"/>
          <w:i w:val="0"/>
          <w:color w:val="1F2937"/>
          <w:sz w:val="22"/>
        </w:rPr>
        <w:t>Explain how the decision could affect revenue, cash flow, risk, financing, or value.</w:t>
      </w:r>
    </w:p>
    <w:p>
      <w:pPr>
        <w:numPr>
          <w:ilvl w:val="0"/>
          <w:numId w:val="12"/>
        </w:numPr>
      </w:pPr>
      <w:r>
        <w:rPr>
          <w:rFonts w:ascii="Calibri" w:hAnsi="Calibri"/>
          <w:b w:val="0"/>
          <w:i w:val="0"/>
          <w:color w:val="1F2937"/>
          <w:sz w:val="22"/>
        </w:rPr>
        <w:t>Identify an implementation path, responsible functions, timing, performance indicators, and decision triggers.</w:t>
      </w:r>
    </w:p>
    <w:p>
      <w:r>
        <w:rPr>
          <w:rFonts w:ascii="Calibri" w:hAnsi="Calibri"/>
          <w:b w:val="0"/>
          <w:i w:val="0"/>
          <w:color w:val="1F2937"/>
          <w:sz w:val="22"/>
        </w:rPr>
        <w:t>The instructor must approve both the company and the decision scope. Approval may require a narrower question, different evidence, or a different decision if the proposed scope is too broad, too descriptive, duplicative in a way that limits learning, investor-focused, or not supportable with available evidence.</w:t>
      </w:r>
    </w:p>
    <w:p>
      <w:pPr>
        <w:pStyle w:val="Heading1"/>
      </w:pPr>
      <w:r>
        <w:rPr>
          <w:rFonts w:ascii="Calibri" w:hAnsi="Calibri"/>
          <w:b/>
          <w:i w:val="0"/>
          <w:color w:val="2E74B5"/>
          <w:sz w:val="32"/>
        </w:rPr>
        <w:t>Strong CFO decision suggestion menu</w:t>
      </w:r>
    </w:p>
    <w:p>
      <w:r>
        <w:rPr>
          <w:rFonts w:ascii="Calibri" w:hAnsi="Calibri"/>
          <w:b w:val="0"/>
          <w:i w:val="0"/>
          <w:color w:val="1F2937"/>
          <w:sz w:val="22"/>
        </w:rPr>
        <w:t>Choose one direction that fits your company, then rewrite it as a company-specific decision question. You may propose another direction if it meets every approval standard.</w:t>
      </w:r>
    </w:p>
    <w:tbl>
      <w:tblPr>
        <w:tblStyle w:val="TableGrid"/>
        <w:tblW w:type="dxa" w:w="9360"/>
        <w:jc w:val="left"/>
        <w:tblLayout w:type="fixed"/>
        <w:tblLook w:firstColumn="1" w:firstRow="1" w:lastColumn="0" w:lastRow="0" w:noHBand="0" w:noVBand="1" w:val="04A0"/>
        <w:tblInd w:type="dxa" w:w="120"/>
      </w:tblPr>
      <w:tblGrid>
        <w:gridCol w:w="1584"/>
        <w:gridCol w:w="3672"/>
        <w:gridCol w:w="4104"/>
      </w:tblGrid>
      <w:tr>
        <w:trPr>
          <w:cantSplit w:val="true"/>
          <w:tblHeader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Decision area</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Strong decision question</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the question should require</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Capital allocation</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How should the company allocate its next material dollar among organic investment, acquisitions, debt repayment, dividends, and share repurchases?</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ROIC, free cash flow, leverage, investment pipeline, payout capacity, and valuation implications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Capital structure</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increase, reduce, refinance, or restructure debt?</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Debt schedule, maturities, coverage, credit risk, interest rates, WACC, and peer leverage</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Corporate development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pursue an acquisition, joint venture, partnership, or strategic divestiture?</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Strategic rationale, valuation, financing, synergies, integration risk, alternatives, and return thresholds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Growth investment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Which major product, market, geographic, capacity, or technology investment should receive funding?</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drivers, incremental cash flows, NPV/IRR, strategic fit, scenarios, and execution risk</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Market expectations</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What operating or capital actions are required to meet or challenge the expectations embedded in the company's valuation?</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Market-implied growth and margins, consensus estimates, scenarios, and operational feasibility</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Operating performance</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What operating and capital actions are needed to improve ROIC, margins, or free cash flow?</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bridge, cost drivers, capital base, peer comparison, implementation metrics, and valuation impact</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Payout policy</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change its dividend or share-repurchase policy?</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Free-cash-flow durability, leverage, reinvestment opportunities, dilution, valuation, and shareholder expectations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Portfolio strategy</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Should the company expand, repair, divest, or discontinue a business segment?</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Segment revenue, margins, growth, capital intensity, strategic fit, and valuation contribution</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Risk management</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Which interest-rate, foreign-exchange, commodity, refinancing, or concentration risk requires a financial response?</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Exposure size, sensitivities, mitigation cost, downside scenarios, and governance triggers</w:t>
            </w:r>
          </w:p>
        </w:tc>
      </w:tr>
      <w:tr>
        <w:trPr>
          <w:cantSplit w:val="true"/>
        </w:trPr>
        <w:tc>
          <w:tcPr>
            <w:tcW w:type="dxa" w:w="15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Working capital</w:t>
            </w:r>
          </w:p>
        </w:tc>
        <w:tc>
          <w:tcPr>
            <w:tcW w:type="dxa" w:w="367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How should the company improve cash conversion, inventory, receivables, payables, or liquidity?</w:t>
            </w:r>
          </w:p>
        </w:tc>
        <w:tc>
          <w:tcPr>
            <w:tcW w:type="dxa" w:w="410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Cash-conversion cycle, peer benchmarks, seasonal needs, cash impact, and customer or supplier consequences</w:t>
            </w:r>
          </w:p>
        </w:tc>
      </w:tr>
    </w:tbl>
    <w:p>
      <w:pPr>
        <w:spacing w:after="40"/>
      </w:pPr>
    </w:p>
    <w:p>
      <w:r>
        <w:rPr>
          <w:rFonts w:ascii="Calibri" w:hAnsi="Calibri"/>
          <w:b w:val="0"/>
          <w:i w:val="0"/>
          <w:color w:val="1F2937"/>
          <w:sz w:val="22"/>
        </w:rPr>
        <w:t>An acceptable decision is specific enough to analyze and defend within one semester. "Improve profitability," "grow the company," and "buy, hold, or sell the stock" are not acceptable primary decisions.</w:t>
      </w:r>
    </w:p>
    <w:p>
      <w:pPr>
        <w:pStyle w:val="Heading1"/>
      </w:pPr>
      <w:r>
        <w:rPr>
          <w:rFonts w:ascii="Calibri" w:hAnsi="Calibri"/>
          <w:b/>
          <w:i w:val="0"/>
          <w:color w:val="2E74B5"/>
          <w:sz w:val="32"/>
        </w:rPr>
        <w:t>Required analytical work</w:t>
      </w:r>
    </w:p>
    <w:p>
      <w:pPr>
        <w:pStyle w:val="Heading2"/>
      </w:pPr>
      <w:r>
        <w:rPr>
          <w:rFonts w:ascii="Calibri" w:hAnsi="Calibri"/>
          <w:b/>
          <w:i w:val="0"/>
          <w:color w:val="2E74B5"/>
          <w:sz w:val="26"/>
        </w:rPr>
        <w:t>1. Explain the revenue engine</w:t>
      </w:r>
    </w:p>
    <w:p>
      <w:r>
        <w:rPr>
          <w:rFonts w:ascii="Calibri" w:hAnsi="Calibri"/>
          <w:b w:val="0"/>
          <w:i w:val="0"/>
          <w:color w:val="1F2937"/>
          <w:sz w:val="22"/>
        </w:rPr>
        <w:t>Map how the company earns revenue. Address each item below or state, with evidence, why an item is not applicable:</w:t>
      </w:r>
    </w:p>
    <w:p>
      <w:pPr>
        <w:numPr>
          <w:ilvl w:val="0"/>
          <w:numId w:val="10"/>
        </w:numPr>
      </w:pPr>
      <w:r>
        <w:rPr>
          <w:rFonts w:ascii="Calibri" w:hAnsi="Calibri"/>
          <w:b w:val="0"/>
          <w:i w:val="0"/>
          <w:color w:val="1F2937"/>
          <w:sz w:val="22"/>
        </w:rPr>
        <w:t>Products and services</w:t>
      </w:r>
    </w:p>
    <w:p>
      <w:pPr>
        <w:numPr>
          <w:ilvl w:val="0"/>
          <w:numId w:val="10"/>
        </w:numPr>
      </w:pPr>
      <w:r>
        <w:rPr>
          <w:rFonts w:ascii="Calibri" w:hAnsi="Calibri"/>
          <w:b w:val="0"/>
          <w:i w:val="0"/>
          <w:color w:val="1F2937"/>
          <w:sz w:val="22"/>
        </w:rPr>
        <w:t>Reportable and economically meaningful segments</w:t>
      </w:r>
    </w:p>
    <w:p>
      <w:pPr>
        <w:numPr>
          <w:ilvl w:val="0"/>
          <w:numId w:val="10"/>
        </w:numPr>
      </w:pPr>
      <w:r>
        <w:rPr>
          <w:rFonts w:ascii="Calibri" w:hAnsi="Calibri"/>
          <w:b w:val="0"/>
          <w:i w:val="0"/>
          <w:color w:val="1F2937"/>
          <w:sz w:val="22"/>
        </w:rPr>
        <w:t>Geographies and customer types</w:t>
      </w:r>
    </w:p>
    <w:p>
      <w:pPr>
        <w:numPr>
          <w:ilvl w:val="0"/>
          <w:numId w:val="10"/>
        </w:numPr>
      </w:pPr>
      <w:r>
        <w:rPr>
          <w:rFonts w:ascii="Calibri" w:hAnsi="Calibri"/>
          <w:b w:val="0"/>
          <w:i w:val="0"/>
          <w:color w:val="1F2937"/>
          <w:sz w:val="22"/>
        </w:rPr>
        <w:t>Sales and distribution channels</w:t>
      </w:r>
    </w:p>
    <w:p>
      <w:pPr>
        <w:numPr>
          <w:ilvl w:val="0"/>
          <w:numId w:val="10"/>
        </w:numPr>
      </w:pPr>
      <w:r>
        <w:rPr>
          <w:rFonts w:ascii="Calibri" w:hAnsi="Calibri"/>
          <w:b w:val="0"/>
          <w:i w:val="0"/>
          <w:color w:val="1F2937"/>
          <w:sz w:val="22"/>
        </w:rPr>
        <w:t>Pricing or monetization model</w:t>
      </w:r>
    </w:p>
    <w:p>
      <w:pPr>
        <w:numPr>
          <w:ilvl w:val="0"/>
          <w:numId w:val="10"/>
        </w:numPr>
      </w:pPr>
      <w:r>
        <w:rPr>
          <w:rFonts w:ascii="Calibri" w:hAnsi="Calibri"/>
          <w:b w:val="0"/>
          <w:i w:val="0"/>
          <w:color w:val="1F2937"/>
          <w:sz w:val="22"/>
        </w:rPr>
        <w:t>Recurring versus transactional revenue</w:t>
      </w:r>
    </w:p>
    <w:p>
      <w:r>
        <w:rPr>
          <w:rFonts w:ascii="Calibri" w:hAnsi="Calibri"/>
          <w:b w:val="0"/>
          <w:i w:val="0"/>
          <w:color w:val="1F2937"/>
          <w:sz w:val="22"/>
        </w:rPr>
        <w:t>The map must show where value is created and which levers management can influence.</w:t>
      </w:r>
    </w:p>
    <w:p>
      <w:pPr>
        <w:pStyle w:val="Heading2"/>
      </w:pPr>
      <w:r>
        <w:rPr>
          <w:rFonts w:ascii="Calibri" w:hAnsi="Calibri"/>
          <w:b/>
          <w:i w:val="0"/>
          <w:color w:val="2E74B5"/>
          <w:sz w:val="26"/>
        </w:rPr>
        <w:t>2. Analyze 3-5 years of sales performance</w:t>
      </w:r>
    </w:p>
    <w:p>
      <w:r>
        <w:rPr>
          <w:rFonts w:ascii="Calibri" w:hAnsi="Calibri"/>
          <w:b w:val="0"/>
          <w:i w:val="0"/>
          <w:color w:val="1F2937"/>
          <w:sz w:val="22"/>
        </w:rPr>
        <w:t>Use consistent fiscal periods, currency, units, and definitions. Show total revenue and material segment or business-line revenue for three to five fiscal years. Explain any restatements, acquisitions, divestitures, changes in segment reporting, or fiscal-year changes that affect comparability.</w:t>
      </w:r>
    </w:p>
    <w:p>
      <w:pPr>
        <w:pStyle w:val="Heading2"/>
      </w:pPr>
      <w:r>
        <w:rPr>
          <w:rFonts w:ascii="Calibri" w:hAnsi="Calibri"/>
          <w:b/>
          <w:i w:val="0"/>
          <w:color w:val="2E74B5"/>
          <w:sz w:val="26"/>
        </w:rPr>
        <w:t>3. Decompose revenue drivers</w:t>
      </w:r>
    </w:p>
    <w:p>
      <w:r>
        <w:rPr>
          <w:rFonts w:ascii="Calibri" w:hAnsi="Calibri"/>
          <w:b w:val="0"/>
          <w:i w:val="0"/>
          <w:color w:val="1F2937"/>
          <w:sz w:val="22"/>
        </w:rPr>
        <w:t>Use the drivers the company actually discloses or that credible evidence can support. Depending on the company, these may include price, volume, mix, currency, acquisitions, customers, locations, utilization, retention, backlog, subscriptions, capacity, or another company-specific driver. Separate durable drivers from temporary, acquisition-related, accounting, or macro effects.</w:t>
      </w:r>
    </w:p>
    <w:p>
      <w:pPr>
        <w:pStyle w:val="Heading2"/>
      </w:pPr>
      <w:r>
        <w:rPr>
          <w:rFonts w:ascii="Calibri" w:hAnsi="Calibri"/>
          <w:b/>
          <w:i w:val="0"/>
          <w:color w:val="2E74B5"/>
          <w:sz w:val="26"/>
        </w:rPr>
        <w:t>4. Add industry and peer context</w:t>
      </w:r>
    </w:p>
    <w:p>
      <w:r>
        <w:rPr>
          <w:rFonts w:ascii="Calibri" w:hAnsi="Calibri"/>
          <w:b w:val="0"/>
          <w:i w:val="0"/>
          <w:color w:val="1F2937"/>
          <w:sz w:val="22"/>
        </w:rPr>
        <w:t>Explain relevant demand conditions, competitive position, market share when supportable, peer growth, and macro or industry factors. Name the peer group, explain why it is appropriate, and use at least three peers when three comparable companies are available. If fewer than three are defensible, explain the limitation.</w:t>
      </w:r>
    </w:p>
    <w:p>
      <w:pPr>
        <w:pStyle w:val="Heading2"/>
      </w:pPr>
      <w:r>
        <w:rPr>
          <w:rFonts w:ascii="Calibri" w:hAnsi="Calibri"/>
          <w:b/>
          <w:i w:val="0"/>
          <w:color w:val="2E74B5"/>
          <w:sz w:val="26"/>
        </w:rPr>
        <w:t>5. Identify leading indicators and principal revenue risks</w:t>
      </w:r>
    </w:p>
    <w:p>
      <w:r>
        <w:rPr>
          <w:rFonts w:ascii="Calibri" w:hAnsi="Calibri"/>
          <w:b w:val="0"/>
          <w:i w:val="0"/>
          <w:color w:val="1F2937"/>
          <w:sz w:val="22"/>
        </w:rPr>
        <w:t>Identify the company-specific indicators the CFO and Board should monitor. Address material concentrations, seasonality, capacity constraints, customer behavior, demand risks, and other forward indicators. Each indicator or risk must have a named source and a stated connection to a forecast assumption or decision trigger.</w:t>
      </w:r>
    </w:p>
    <w:p>
      <w:pPr>
        <w:pStyle w:val="Heading2"/>
      </w:pPr>
      <w:r>
        <w:rPr>
          <w:rFonts w:ascii="Calibri" w:hAnsi="Calibri"/>
          <w:b/>
          <w:i w:val="0"/>
          <w:color w:val="2E74B5"/>
          <w:sz w:val="26"/>
        </w:rPr>
        <w:t>6. State a testable revenue hypothesis</w:t>
      </w:r>
    </w:p>
    <w:p>
      <w:r>
        <w:rPr>
          <w:rFonts w:ascii="Calibri" w:hAnsi="Calibri"/>
          <w:b w:val="0"/>
          <w:i w:val="0"/>
          <w:color w:val="1F2937"/>
          <w:sz w:val="22"/>
        </w:rPr>
        <w:t>Write one specific causal or directional claim that evidence could support, modify, or reject. The hypothesis must name:</w:t>
      </w:r>
    </w:p>
    <w:p>
      <w:pPr>
        <w:numPr>
          <w:ilvl w:val="0"/>
          <w:numId w:val="10"/>
        </w:numPr>
      </w:pPr>
      <w:r>
        <w:rPr>
          <w:rFonts w:ascii="Calibri" w:hAnsi="Calibri"/>
          <w:b w:val="0"/>
          <w:i w:val="0"/>
          <w:color w:val="1F2937"/>
          <w:sz w:val="22"/>
        </w:rPr>
        <w:t>The operating driver or causal mechanism</w:t>
      </w:r>
    </w:p>
    <w:p>
      <w:pPr>
        <w:numPr>
          <w:ilvl w:val="0"/>
          <w:numId w:val="10"/>
        </w:numPr>
      </w:pPr>
      <w:r>
        <w:rPr>
          <w:rFonts w:ascii="Calibri" w:hAnsi="Calibri"/>
          <w:b w:val="0"/>
          <w:i w:val="0"/>
          <w:color w:val="1F2937"/>
          <w:sz w:val="22"/>
        </w:rPr>
        <w:t>The expected revenue or margin effect</w:t>
      </w:r>
    </w:p>
    <w:p>
      <w:pPr>
        <w:numPr>
          <w:ilvl w:val="0"/>
          <w:numId w:val="10"/>
        </w:numPr>
      </w:pPr>
      <w:r>
        <w:rPr>
          <w:rFonts w:ascii="Calibri" w:hAnsi="Calibri"/>
          <w:b w:val="0"/>
          <w:i w:val="0"/>
          <w:color w:val="1F2937"/>
          <w:sz w:val="22"/>
        </w:rPr>
        <w:t>The relevant time period</w:t>
      </w:r>
    </w:p>
    <w:p>
      <w:pPr>
        <w:numPr>
          <w:ilvl w:val="0"/>
          <w:numId w:val="10"/>
        </w:numPr>
      </w:pPr>
      <w:r>
        <w:rPr>
          <w:rFonts w:ascii="Calibri" w:hAnsi="Calibri"/>
          <w:b w:val="0"/>
          <w:i w:val="0"/>
          <w:color w:val="1F2937"/>
          <w:sz w:val="22"/>
        </w:rPr>
        <w:t>The observable evidence that would support or disprove it</w:t>
      </w:r>
    </w:p>
    <w:p>
      <w:r>
        <w:rPr>
          <w:rFonts w:ascii="Calibri" w:hAnsi="Calibri"/>
          <w:b w:val="0"/>
          <w:i w:val="0"/>
          <w:color w:val="1F2937"/>
          <w:sz w:val="22"/>
        </w:rPr>
        <w:t>The hypothesis must flow into your base, upside, and downside assumptions and into the approved CFO decision.</w:t>
      </w:r>
    </w:p>
    <w:p>
      <w:pPr>
        <w:pStyle w:val="Heading2"/>
      </w:pPr>
      <w:r>
        <w:rPr>
          <w:rFonts w:ascii="Calibri" w:hAnsi="Calibri"/>
          <w:b/>
          <w:i w:val="0"/>
          <w:color w:val="2E74B5"/>
          <w:sz w:val="26"/>
        </w:rPr>
        <w:t>7. Build valuation and scenarios</w:t>
      </w:r>
    </w:p>
    <w:p>
      <w:r>
        <w:rPr>
          <w:rFonts w:ascii="Calibri" w:hAnsi="Calibri"/>
          <w:b w:val="0"/>
          <w:i w:val="0"/>
          <w:color w:val="1F2937"/>
          <w:sz w:val="22"/>
        </w:rPr>
        <w:t>Translate the revenue diagnosis into base, upside, and downside forecasts. Use the instructor-approved valuation or capital-budgeting method appropriate to the company and decision. The Excel model must separate inputs, sources, calculations, outputs, checks, scenarios, and sensitivities. It must include the relevant tax, NOPAT, depreciation, capital expenditure, change in net working capital, discount-rate, terminal-value, and enterprise-to-equity logic when those items apply.</w:t>
      </w:r>
    </w:p>
    <w:p>
      <w:r>
        <w:rPr>
          <w:rFonts w:ascii="Calibri" w:hAnsi="Calibri"/>
          <w:b w:val="0"/>
          <w:i w:val="0"/>
          <w:color w:val="1F2937"/>
          <w:sz w:val="22"/>
        </w:rPr>
        <w:t>The model must contain no unexplained hardcoded result, unresolved formula error, or scenario that is disconnected from the revenue hypothesis. State material limitations rather than inventing unavailable data.</w:t>
      </w:r>
    </w:p>
    <w:p>
      <w:pPr>
        <w:pStyle w:val="Heading2"/>
      </w:pPr>
      <w:r>
        <w:rPr>
          <w:rFonts w:ascii="Calibri" w:hAnsi="Calibri"/>
          <w:b/>
          <w:i w:val="0"/>
          <w:color w:val="2E74B5"/>
          <w:sz w:val="26"/>
        </w:rPr>
        <w:t>8. Make an implementable CFO recommendation</w:t>
      </w:r>
    </w:p>
    <w:p>
      <w:r>
        <w:rPr>
          <w:rFonts w:ascii="Calibri" w:hAnsi="Calibri"/>
          <w:b w:val="0"/>
          <w:i w:val="0"/>
          <w:color w:val="1F2937"/>
          <w:sz w:val="22"/>
        </w:rPr>
        <w:t>Recommend one primary action and two or three supporting actions. Compare the recommendation with credible alternatives. Specify:</w:t>
      </w:r>
    </w:p>
    <w:p>
      <w:pPr>
        <w:numPr>
          <w:ilvl w:val="0"/>
          <w:numId w:val="10"/>
        </w:numPr>
      </w:pPr>
      <w:r>
        <w:rPr>
          <w:rFonts w:ascii="Calibri" w:hAnsi="Calibri"/>
          <w:b w:val="0"/>
          <w:i w:val="0"/>
          <w:color w:val="1F2937"/>
          <w:sz w:val="22"/>
        </w:rPr>
        <w:t>Why the recommended action follows from the revenue and valuation evidence</w:t>
      </w:r>
    </w:p>
    <w:p>
      <w:pPr>
        <w:numPr>
          <w:ilvl w:val="0"/>
          <w:numId w:val="10"/>
        </w:numPr>
      </w:pPr>
      <w:r>
        <w:rPr>
          <w:rFonts w:ascii="Calibri" w:hAnsi="Calibri"/>
          <w:b w:val="0"/>
          <w:i w:val="0"/>
          <w:color w:val="1F2937"/>
          <w:sz w:val="22"/>
        </w:rPr>
        <w:t>Principal tradeoffs and risks</w:t>
      </w:r>
    </w:p>
    <w:p>
      <w:pPr>
        <w:numPr>
          <w:ilvl w:val="0"/>
          <w:numId w:val="10"/>
        </w:numPr>
      </w:pPr>
      <w:r>
        <w:rPr>
          <w:rFonts w:ascii="Calibri" w:hAnsi="Calibri"/>
          <w:b w:val="0"/>
          <w:i w:val="0"/>
          <w:color w:val="1F2937"/>
          <w:sz w:val="22"/>
        </w:rPr>
        <w:t>Responsible executives, teams, or functions</w:t>
      </w:r>
    </w:p>
    <w:p>
      <w:pPr>
        <w:numPr>
          <w:ilvl w:val="0"/>
          <w:numId w:val="10"/>
        </w:numPr>
      </w:pPr>
      <w:r>
        <w:rPr>
          <w:rFonts w:ascii="Calibri" w:hAnsi="Calibri"/>
          <w:b w:val="0"/>
          <w:i w:val="0"/>
          <w:color w:val="1F2937"/>
          <w:sz w:val="22"/>
        </w:rPr>
        <w:t>Timing and implementation sequence</w:t>
      </w:r>
    </w:p>
    <w:p>
      <w:pPr>
        <w:numPr>
          <w:ilvl w:val="0"/>
          <w:numId w:val="10"/>
        </w:numPr>
      </w:pPr>
      <w:r>
        <w:rPr>
          <w:rFonts w:ascii="Calibri" w:hAnsi="Calibri"/>
          <w:b w:val="0"/>
          <w:i w:val="0"/>
          <w:color w:val="1F2937"/>
          <w:sz w:val="22"/>
        </w:rPr>
        <w:t>Performance indicators and decision triggers</w:t>
      </w:r>
    </w:p>
    <w:p>
      <w:pPr>
        <w:numPr>
          <w:ilvl w:val="0"/>
          <w:numId w:val="10"/>
        </w:numPr>
      </w:pPr>
      <w:r>
        <w:rPr>
          <w:rFonts w:ascii="Calibri" w:hAnsi="Calibri"/>
          <w:b w:val="0"/>
          <w:i w:val="0"/>
          <w:color w:val="1F2937"/>
          <w:sz w:val="22"/>
        </w:rPr>
        <w:t>Risk mitigations and conditions that would cause the CFO to pause, change, or reject the plan</w:t>
      </w:r>
    </w:p>
    <w:p>
      <w:pPr>
        <w:pStyle w:val="Heading1"/>
      </w:pPr>
      <w:r>
        <w:rPr>
          <w:rFonts w:ascii="Calibri" w:hAnsi="Calibri"/>
          <w:b/>
          <w:i w:val="0"/>
          <w:color w:val="2E74B5"/>
          <w:sz w:val="32"/>
        </w:rPr>
        <w:t>Milestones and Fall 2026 calendar</w:t>
      </w:r>
    </w:p>
    <w:p>
      <w:r>
        <w:rPr>
          <w:rFonts w:ascii="Calibri" w:hAnsi="Calibri"/>
          <w:b w:val="0"/>
          <w:i w:val="0"/>
          <w:color w:val="1F2937"/>
          <w:sz w:val="22"/>
        </w:rPr>
        <w:t>The dates below are mapped to the Fall 2026 BUS311 syllabus. Canvas will contain the final submission times and assigned presentation order. Unless Canvas states otherwise, written milestone files are due by 11:59 p.m. Eastern on the date listed.</w:t>
      </w:r>
    </w:p>
    <w:p>
      <w:pPr>
        <w:sectPr>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pPr>
    </w:p>
    <w:tbl>
      <w:tblPr>
        <w:tblStyle w:val="TableGrid"/>
        <w:tblW w:type="dxa" w:w="12960"/>
        <w:jc w:val="left"/>
        <w:tblLayout w:type="fixed"/>
        <w:tblLook w:firstColumn="1" w:firstRow="1" w:lastColumn="0" w:lastRow="0" w:noHBand="0" w:noVBand="1" w:val="04A0"/>
        <w:tblInd w:type="dxa" w:w="120"/>
      </w:tblPr>
      <w:tblGrid>
        <w:gridCol w:w="1705"/>
        <w:gridCol w:w="2728"/>
        <w:gridCol w:w="5934"/>
        <w:gridCol w:w="1023"/>
        <w:gridCol w:w="1570"/>
      </w:tblGrid>
      <w:tr>
        <w:trPr>
          <w:cantSplit w:val="true"/>
          <w:tblHeader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Date</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Syllabus connection</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Required submission or activity</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Outcomes</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Sept. 2</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1: FactSet sign-up and "Select Company &amp; Why"</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Submit company name, ticker, exchange, and a concise company-fit rationale. This is the opening part of Milestone 1.</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Included in Milestone 1</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foundation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Sept. 9</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2: company research begins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i w:val="0"/>
                <w:color w:val="1F2937"/>
                <w:sz w:val="18"/>
              </w:rPr>
              <w:t>Milestone 1 - Company and CFO decision:</w:t>
            </w:r>
            <w:r>
              <w:rPr>
                <w:rFonts w:ascii="Calibri" w:hAnsi="Calibri"/>
                <w:b w:val="0"/>
                <w:i w:val="0"/>
                <w:color w:val="1F2937"/>
                <w:sz w:val="18"/>
              </w:rPr>
              <w:t xml:space="preserve"> submit the decision approval packet and initial evidence register. Do not proceed with a final project thesis until approved.</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foundation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Mon./Wed., Sept. 28/30</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5: Project Check-In #1</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Bring work in progress both days; submit </w:t>
            </w:r>
            <w:r>
              <w:rPr>
                <w:rFonts w:ascii="Calibri" w:hAnsi="Calibri"/>
                <w:b/>
                <w:i w:val="0"/>
                <w:color w:val="1F2937"/>
                <w:sz w:val="18"/>
              </w:rPr>
              <w:t>Milestone 2 - Revenue engine and initial hypothesis</w:t>
            </w:r>
            <w:r>
              <w:rPr>
                <w:rFonts w:ascii="Calibri" w:hAnsi="Calibri"/>
                <w:b w:val="0"/>
                <w:i w:val="0"/>
                <w:color w:val="1F2937"/>
                <w:sz w:val="18"/>
              </w:rPr>
              <w:t xml:space="preserve"> by Wed., Sept. 30.</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Oct. 21</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8: 10-K and FactSet company research</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Guided evidence and model-development workday; update the evidence register. No separate project points.</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0</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LO2-LO5 support</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Wed., Nov. 18</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 12: WACC and long-term finance concepts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Submit </w:t>
            </w:r>
            <w:r>
              <w:rPr>
                <w:rFonts w:ascii="Calibri" w:hAnsi="Calibri"/>
                <w:b/>
                <w:i w:val="0"/>
                <w:color w:val="1F2937"/>
                <w:sz w:val="18"/>
              </w:rPr>
              <w:t>Milestone 3 - Excel valuation model and scenarios</w:t>
            </w:r>
            <w:r>
              <w:rPr>
                <w:rFonts w:ascii="Calibri" w:hAnsi="Calibri"/>
                <w:b w:val="0"/>
                <w:i w:val="0"/>
                <w:color w:val="1F2937"/>
                <w:sz w:val="18"/>
              </w:rPr>
              <w:t xml:space="preserve"> after the scheduled WACC work.</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LO4-LO6</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Sun., Nov. 22</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End of Week 12, before Thanksgiving recess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 xml:space="preserve">Submit </w:t>
            </w:r>
            <w:r>
              <w:rPr>
                <w:rFonts w:ascii="Calibri" w:hAnsi="Calibri"/>
                <w:b/>
                <w:i w:val="0"/>
                <w:color w:val="1F2937"/>
                <w:sz w:val="18"/>
              </w:rPr>
              <w:t>Milestone 4 - CFO red team and revision</w:t>
            </w:r>
            <w:r>
              <w:rPr>
                <w:rFonts w:ascii="Calibri" w:hAnsi="Calibri"/>
                <w:b w:val="0"/>
                <w:i w:val="0"/>
                <w:color w:val="1F2937"/>
                <w:sz w:val="18"/>
              </w:rPr>
              <w:t>, including the final accept/modify/reject record and revised decision logic.</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LO2-LO3, LO5-LO6</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 Nov. 30 at 12:30 p.m. ET</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At class start, before the first presentation begins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Submit the two final communication files: PPTX and one-page executive summary PDF. Files lock at the shared deadline.</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Assessed below</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LO2-LO6 integration</w:t>
            </w:r>
          </w:p>
        </w:tc>
      </w:tr>
      <w:tr>
        <w:trPr>
          <w:cantSplit w:val="true"/>
        </w:trPr>
        <w:tc>
          <w:tcPr>
            <w:tcW w:type="dxa" w:w="1705"/>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Mon., Nov. 30; Wed., Dec. 2; Mon., Dec. 7; Wed., Dec. 9</w:t>
            </w:r>
          </w:p>
        </w:tc>
        <w:tc>
          <w:tcPr>
            <w:tcW w:type="dxa" w:w="272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Weeks 14-15: Company Analysis Presentations</w:t>
            </w:r>
          </w:p>
        </w:tc>
        <w:tc>
          <w:tcPr>
            <w:tcW w:type="dxa" w:w="593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Deliver the 7-minute Board briefing and complete 3 minutes of individual Q&amp;A on the assigned date.</w:t>
            </w:r>
          </w:p>
        </w:tc>
        <w:tc>
          <w:tcPr>
            <w:tcW w:type="dxa" w:w="1023"/>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20 delivery/Q&amp;A points</w:t>
            </w:r>
          </w:p>
        </w:tc>
        <w:tc>
          <w:tcPr>
            <w:tcW w:type="dxa" w:w="157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LO2-LO6 integration</w:t>
            </w:r>
          </w:p>
        </w:tc>
      </w:tr>
    </w:tbl>
    <w:p>
      <w:pPr>
        <w:spacing w:after="40"/>
      </w:pPr>
    </w:p>
    <w:p>
      <w:pPr>
        <w:sectPr>
          <w:headerReference w:type="default" r:id="rId13"/>
          <w:headerReference w:type="even" r:id="rId14"/>
          <w:footerReference w:type="default" r:id="rId15"/>
          <w:footerReference w:type="even" r:id="rId16"/>
          <w:pgSz w:w="15840" w:h="12240" w:orient="landscape"/>
          <w:pgMar w:top="1440" w:right="1440" w:bottom="1440" w:left="1440" w:header="708" w:footer="708" w:gutter="0"/>
          <w:cols w:space="720"/>
          <w:docGrid w:linePitch="360"/>
        </w:sectPr>
      </w:pPr>
    </w:p>
    <w:p>
      <w:pPr>
        <w:pStyle w:val="Heading2"/>
      </w:pPr>
      <w:r>
        <w:rPr>
          <w:rFonts w:ascii="Calibri" w:hAnsi="Calibri"/>
          <w:b/>
          <w:i w:val="0"/>
          <w:color w:val="2E74B5"/>
          <w:sz w:val="26"/>
        </w:rPr>
        <w:t>Milestone 1 - Company and approved CFO decision (5 points)</w:t>
      </w:r>
    </w:p>
    <w:p>
      <w:r>
        <w:rPr>
          <w:rFonts w:ascii="Calibri" w:hAnsi="Calibri"/>
          <w:b w:val="0"/>
          <w:i w:val="0"/>
          <w:color w:val="1F2937"/>
          <w:sz w:val="22"/>
        </w:rPr>
        <w:t>Submit one approval packet containing:</w:t>
      </w:r>
    </w:p>
    <w:p>
      <w:pPr>
        <w:numPr>
          <w:ilvl w:val="0"/>
          <w:numId w:val="13"/>
        </w:numPr>
      </w:pPr>
      <w:r>
        <w:rPr>
          <w:rFonts w:ascii="Calibri" w:hAnsi="Calibri"/>
          <w:b w:val="0"/>
          <w:i w:val="0"/>
          <w:color w:val="1F2937"/>
          <w:sz w:val="22"/>
        </w:rPr>
        <w:t>Company legal name, ticker, primary U.S. exchange, and fiscal year-end.</w:t>
      </w:r>
    </w:p>
    <w:p>
      <w:pPr>
        <w:numPr>
          <w:ilvl w:val="0"/>
          <w:numId w:val="13"/>
        </w:numPr>
      </w:pPr>
      <w:r>
        <w:rPr>
          <w:rFonts w:ascii="Calibri" w:hAnsi="Calibri"/>
          <w:b w:val="0"/>
          <w:i w:val="0"/>
          <w:color w:val="1F2937"/>
          <w:sz w:val="22"/>
        </w:rPr>
        <w:t>A concise rationale showing that the company is publicly traded in the United States and has sufficient SEC, FactSet, and operating evidence.</w:t>
      </w:r>
    </w:p>
    <w:p>
      <w:pPr>
        <w:numPr>
          <w:ilvl w:val="0"/>
          <w:numId w:val="13"/>
        </w:numPr>
      </w:pPr>
      <w:r>
        <w:rPr>
          <w:rFonts w:ascii="Calibri" w:hAnsi="Calibri"/>
          <w:b w:val="0"/>
          <w:i w:val="0"/>
          <w:color w:val="1F2937"/>
          <w:sz w:val="22"/>
        </w:rPr>
        <w:t>One primary CFO decision written as an actionable question.</w:t>
      </w:r>
    </w:p>
    <w:p>
      <w:pPr>
        <w:numPr>
          <w:ilvl w:val="0"/>
          <w:numId w:val="13"/>
        </w:numPr>
      </w:pPr>
      <w:r>
        <w:rPr>
          <w:rFonts w:ascii="Calibri" w:hAnsi="Calibri"/>
          <w:b w:val="0"/>
          <w:i w:val="0"/>
          <w:color w:val="1F2937"/>
          <w:sz w:val="22"/>
        </w:rPr>
        <w:t>Two or three proposed supporting actions and at least two credible alternatives.</w:t>
      </w:r>
    </w:p>
    <w:p>
      <w:pPr>
        <w:numPr>
          <w:ilvl w:val="0"/>
          <w:numId w:val="13"/>
        </w:numPr>
      </w:pPr>
      <w:r>
        <w:rPr>
          <w:rFonts w:ascii="Calibri" w:hAnsi="Calibri"/>
          <w:b w:val="0"/>
          <w:i w:val="0"/>
          <w:color w:val="1F2937"/>
          <w:sz w:val="22"/>
        </w:rPr>
        <w:t>Why the decision is material and appropriate for the CFO and Board.</w:t>
      </w:r>
    </w:p>
    <w:p>
      <w:pPr>
        <w:numPr>
          <w:ilvl w:val="0"/>
          <w:numId w:val="13"/>
        </w:numPr>
      </w:pPr>
      <w:r>
        <w:rPr>
          <w:rFonts w:ascii="Calibri" w:hAnsi="Calibri"/>
          <w:b w:val="0"/>
          <w:i w:val="0"/>
          <w:color w:val="1F2937"/>
          <w:sz w:val="22"/>
        </w:rPr>
        <w:t>The BUS311 concepts and expected quantitative analysis needed to answer it.</w:t>
      </w:r>
    </w:p>
    <w:p>
      <w:pPr>
        <w:numPr>
          <w:ilvl w:val="0"/>
          <w:numId w:val="13"/>
        </w:numPr>
      </w:pPr>
      <w:r>
        <w:rPr>
          <w:rFonts w:ascii="Calibri" w:hAnsi="Calibri"/>
          <w:b w:val="0"/>
          <w:i w:val="0"/>
          <w:color w:val="1F2937"/>
          <w:sz w:val="22"/>
        </w:rPr>
        <w:t>An initial evidence register containing at least one SEC filing, one FactSet item, and two additional credible research leads.</w:t>
      </w:r>
    </w:p>
    <w:p>
      <w:pPr>
        <w:numPr>
          <w:ilvl w:val="0"/>
          <w:numId w:val="13"/>
        </w:numPr>
      </w:pPr>
      <w:r>
        <w:rPr>
          <w:rFonts w:ascii="Calibri" w:hAnsi="Calibri"/>
          <w:b w:val="0"/>
          <w:i w:val="0"/>
          <w:color w:val="1F2937"/>
          <w:sz w:val="22"/>
        </w:rPr>
        <w:t>The Checkpoint 1 question-generation record, completed with a free AI version or the instructor-provided equivalent challenge prompt.</w:t>
      </w:r>
    </w:p>
    <w:p>
      <w:pPr>
        <w:pStyle w:val="Heading2"/>
      </w:pPr>
      <w:r>
        <w:rPr>
          <w:rFonts w:ascii="Calibri" w:hAnsi="Calibri"/>
          <w:b/>
          <w:i w:val="0"/>
          <w:color w:val="2E74B5"/>
          <w:sz w:val="26"/>
        </w:rPr>
        <w:t>Milestone 2 - Revenue engine and initial hypothesis (8 points)</w:t>
      </w:r>
    </w:p>
    <w:p>
      <w:r>
        <w:rPr>
          <w:rFonts w:ascii="Calibri" w:hAnsi="Calibri"/>
          <w:b w:val="0"/>
          <w:i w:val="0"/>
          <w:color w:val="1F2937"/>
          <w:sz w:val="22"/>
        </w:rPr>
        <w:t>Submit the required milestone template or equivalent instructor-approved format containing:</w:t>
      </w:r>
    </w:p>
    <w:p>
      <w:pPr>
        <w:numPr>
          <w:ilvl w:val="0"/>
          <w:numId w:val="14"/>
        </w:numPr>
      </w:pPr>
      <w:r>
        <w:rPr>
          <w:rFonts w:ascii="Calibri" w:hAnsi="Calibri"/>
          <w:b w:val="0"/>
          <w:i w:val="0"/>
          <w:color w:val="1F2937"/>
          <w:sz w:val="22"/>
        </w:rPr>
        <w:t>The complete revenue-engine map.</w:t>
      </w:r>
    </w:p>
    <w:p>
      <w:pPr>
        <w:numPr>
          <w:ilvl w:val="0"/>
          <w:numId w:val="14"/>
        </w:numPr>
      </w:pPr>
      <w:r>
        <w:rPr>
          <w:rFonts w:ascii="Calibri" w:hAnsi="Calibri"/>
          <w:b w:val="0"/>
          <w:i w:val="0"/>
          <w:color w:val="1F2937"/>
          <w:sz w:val="22"/>
        </w:rPr>
        <w:t>Three to five years of total and material segment revenue with definitions, units, and sources.</w:t>
      </w:r>
    </w:p>
    <w:p>
      <w:pPr>
        <w:numPr>
          <w:ilvl w:val="0"/>
          <w:numId w:val="14"/>
        </w:numPr>
      </w:pPr>
      <w:r>
        <w:rPr>
          <w:rFonts w:ascii="Calibri" w:hAnsi="Calibri"/>
          <w:b w:val="0"/>
          <w:i w:val="0"/>
          <w:color w:val="1F2937"/>
          <w:sz w:val="22"/>
        </w:rPr>
        <w:t>Company-relevant driver decomposition and a clear explanation of what changed.</w:t>
      </w:r>
    </w:p>
    <w:p>
      <w:pPr>
        <w:numPr>
          <w:ilvl w:val="0"/>
          <w:numId w:val="14"/>
        </w:numPr>
      </w:pPr>
      <w:r>
        <w:rPr>
          <w:rFonts w:ascii="Calibri" w:hAnsi="Calibri"/>
          <w:b w:val="0"/>
          <w:i w:val="0"/>
          <w:color w:val="1F2937"/>
          <w:sz w:val="22"/>
        </w:rPr>
        <w:t>Industry demand, named peer group, peer growth, and market-share context when supportable.</w:t>
      </w:r>
    </w:p>
    <w:p>
      <w:pPr>
        <w:numPr>
          <w:ilvl w:val="0"/>
          <w:numId w:val="14"/>
        </w:numPr>
      </w:pPr>
      <w:r>
        <w:rPr>
          <w:rFonts w:ascii="Calibri" w:hAnsi="Calibri"/>
          <w:b w:val="0"/>
          <w:i w:val="0"/>
          <w:color w:val="1F2937"/>
          <w:sz w:val="22"/>
        </w:rPr>
        <w:t>Leading indicators, concentrations, seasonality, capacity constraints, and principal revenue risks.</w:t>
      </w:r>
    </w:p>
    <w:p>
      <w:pPr>
        <w:numPr>
          <w:ilvl w:val="0"/>
          <w:numId w:val="14"/>
        </w:numPr>
      </w:pPr>
      <w:r>
        <w:rPr>
          <w:rFonts w:ascii="Calibri" w:hAnsi="Calibri"/>
          <w:b w:val="0"/>
          <w:i w:val="0"/>
          <w:color w:val="1F2937"/>
          <w:sz w:val="22"/>
        </w:rPr>
        <w:t>One testable revenue hypothesis that names the driver, expected effect, period, and falsification evidence.</w:t>
      </w:r>
    </w:p>
    <w:p>
      <w:pPr>
        <w:numPr>
          <w:ilvl w:val="0"/>
          <w:numId w:val="14"/>
        </w:numPr>
      </w:pPr>
      <w:r>
        <w:rPr>
          <w:rFonts w:ascii="Calibri" w:hAnsi="Calibri"/>
          <w:b w:val="0"/>
          <w:i w:val="0"/>
          <w:color w:val="1F2937"/>
          <w:sz w:val="22"/>
        </w:rPr>
        <w:t>An explanation of how the hypothesis will affect forecasts, valuation scenarios, and the CFO decision.</w:t>
      </w:r>
    </w:p>
    <w:p>
      <w:pPr>
        <w:numPr>
          <w:ilvl w:val="0"/>
          <w:numId w:val="14"/>
        </w:numPr>
      </w:pPr>
      <w:r>
        <w:rPr>
          <w:rFonts w:ascii="Calibri" w:hAnsi="Calibri"/>
          <w:b w:val="0"/>
          <w:i w:val="0"/>
          <w:color w:val="1F2937"/>
          <w:sz w:val="22"/>
        </w:rPr>
        <w:t>An updated evidence register and the verified Checkpoint 2 skeptical-CFO challenge record.</w:t>
      </w:r>
    </w:p>
    <w:p>
      <w:pPr>
        <w:pStyle w:val="Heading2"/>
      </w:pPr>
      <w:r>
        <w:rPr>
          <w:rFonts w:ascii="Calibri" w:hAnsi="Calibri"/>
          <w:b/>
          <w:i w:val="0"/>
          <w:color w:val="2E74B5"/>
          <w:sz w:val="26"/>
        </w:rPr>
        <w:t>Milestone 3 - Excel valuation model and scenarios (8 points)</w:t>
      </w:r>
    </w:p>
    <w:p>
      <w:r>
        <w:rPr>
          <w:rFonts w:ascii="Calibri" w:hAnsi="Calibri"/>
          <w:b w:val="0"/>
          <w:i w:val="0"/>
          <w:color w:val="1F2937"/>
          <w:sz w:val="22"/>
        </w:rPr>
        <w:t>Submit the working Excel model and the required model-audit note. The model must include:</w:t>
      </w:r>
    </w:p>
    <w:p>
      <w:pPr>
        <w:numPr>
          <w:ilvl w:val="0"/>
          <w:numId w:val="15"/>
        </w:numPr>
      </w:pPr>
      <w:r>
        <w:rPr>
          <w:rFonts w:ascii="Calibri" w:hAnsi="Calibri"/>
          <w:b w:val="0"/>
          <w:i w:val="0"/>
          <w:color w:val="1F2937"/>
          <w:sz w:val="22"/>
        </w:rPr>
        <w:t>Revenue-linked base, upside, and downside assumptions.</w:t>
      </w:r>
    </w:p>
    <w:p>
      <w:pPr>
        <w:numPr>
          <w:ilvl w:val="0"/>
          <w:numId w:val="15"/>
        </w:numPr>
      </w:pPr>
      <w:r>
        <w:rPr>
          <w:rFonts w:ascii="Calibri" w:hAnsi="Calibri"/>
          <w:b w:val="0"/>
          <w:i w:val="0"/>
          <w:color w:val="1F2937"/>
          <w:sz w:val="22"/>
        </w:rPr>
        <w:t>Clearly separated inputs, sources, calculations, outputs, checks, scenarios, and sensitivities.</w:t>
      </w:r>
    </w:p>
    <w:p>
      <w:pPr>
        <w:numPr>
          <w:ilvl w:val="0"/>
          <w:numId w:val="15"/>
        </w:numPr>
      </w:pPr>
      <w:r>
        <w:rPr>
          <w:rFonts w:ascii="Calibri" w:hAnsi="Calibri"/>
          <w:b w:val="0"/>
          <w:i w:val="0"/>
          <w:color w:val="1F2937"/>
          <w:sz w:val="22"/>
        </w:rPr>
        <w:t>An instructor-approved valuation or capital-budgeting method appropriate to the approved decision.</w:t>
      </w:r>
    </w:p>
    <w:p>
      <w:pPr>
        <w:numPr>
          <w:ilvl w:val="0"/>
          <w:numId w:val="15"/>
        </w:numPr>
      </w:pPr>
      <w:r>
        <w:rPr>
          <w:rFonts w:ascii="Calibri" w:hAnsi="Calibri"/>
          <w:b w:val="0"/>
          <w:i w:val="0"/>
          <w:color w:val="1F2937"/>
          <w:sz w:val="22"/>
        </w:rPr>
        <w:t>Sourced assumptions and correct finance logic, including all applicable taxes, NOPAT, depreciation, capital expenditure, net working capital, discount rate, terminal value, and enterprise-to-equity items.</w:t>
      </w:r>
    </w:p>
    <w:p>
      <w:pPr>
        <w:numPr>
          <w:ilvl w:val="0"/>
          <w:numId w:val="15"/>
        </w:numPr>
      </w:pPr>
      <w:r>
        <w:rPr>
          <w:rFonts w:ascii="Calibri" w:hAnsi="Calibri"/>
          <w:b w:val="0"/>
          <w:i w:val="0"/>
          <w:color w:val="1F2937"/>
          <w:sz w:val="22"/>
        </w:rPr>
        <w:t>Visible checks for formula errors, scenario consistency, sign conventions, valuation bridges, terminal-value reasonableness, and sensitivity links.</w:t>
      </w:r>
    </w:p>
    <w:p>
      <w:pPr>
        <w:numPr>
          <w:ilvl w:val="0"/>
          <w:numId w:val="15"/>
        </w:numPr>
      </w:pPr>
      <w:r>
        <w:rPr>
          <w:rFonts w:ascii="Calibri" w:hAnsi="Calibri"/>
          <w:b w:val="0"/>
          <w:i w:val="0"/>
          <w:color w:val="1F2937"/>
          <w:sz w:val="22"/>
        </w:rPr>
        <w:t>Decision-oriented outputs suitable for use in the Board deck and appendix.</w:t>
      </w:r>
    </w:p>
    <w:p>
      <w:pPr>
        <w:numPr>
          <w:ilvl w:val="0"/>
          <w:numId w:val="15"/>
        </w:numPr>
      </w:pPr>
      <w:r>
        <w:rPr>
          <w:rFonts w:ascii="Calibri" w:hAnsi="Calibri"/>
          <w:b w:val="0"/>
          <w:i w:val="0"/>
          <w:color w:val="1F2937"/>
          <w:sz w:val="22"/>
        </w:rPr>
        <w:t>A short model-audit note describing method, major assumptions, checks performed, limitations, and the Checkpoint 3 AI assumption-audit judgment.</w:t>
      </w:r>
    </w:p>
    <w:p>
      <w:r>
        <w:rPr>
          <w:rFonts w:ascii="Calibri" w:hAnsi="Calibri"/>
          <w:b w:val="0"/>
          <w:i w:val="0"/>
          <w:color w:val="1F2937"/>
          <w:sz w:val="22"/>
        </w:rPr>
        <w:t>The Excel model is graded here as a working analytical artifact. It is not submitted again as a third final communication file unless the instructor specifically requests it for Q&amp;A verification.</w:t>
      </w:r>
    </w:p>
    <w:p>
      <w:pPr>
        <w:pStyle w:val="Heading2"/>
      </w:pPr>
      <w:r>
        <w:rPr>
          <w:rFonts w:ascii="Calibri" w:hAnsi="Calibri"/>
          <w:b/>
          <w:i w:val="0"/>
          <w:color w:val="2E74B5"/>
          <w:sz w:val="26"/>
        </w:rPr>
        <w:t>Milestone 4 - CFO red team and revision (4 points)</w:t>
      </w:r>
    </w:p>
    <w:p>
      <w:r>
        <w:rPr>
          <w:rFonts w:ascii="Calibri" w:hAnsi="Calibri"/>
          <w:b w:val="0"/>
          <w:i w:val="0"/>
          <w:color w:val="1F2937"/>
          <w:sz w:val="22"/>
        </w:rPr>
        <w:t>Submit a concise revision record containing:</w:t>
      </w:r>
    </w:p>
    <w:p>
      <w:pPr>
        <w:numPr>
          <w:ilvl w:val="0"/>
          <w:numId w:val="16"/>
        </w:numPr>
      </w:pPr>
      <w:r>
        <w:rPr>
          <w:rFonts w:ascii="Calibri" w:hAnsi="Calibri"/>
          <w:b w:val="0"/>
          <w:i w:val="0"/>
          <w:color w:val="1F2937"/>
          <w:sz w:val="22"/>
        </w:rPr>
        <w:t>Original revenue hypothesis.</w:t>
      </w:r>
    </w:p>
    <w:p>
      <w:pPr>
        <w:numPr>
          <w:ilvl w:val="0"/>
          <w:numId w:val="16"/>
        </w:numPr>
      </w:pPr>
      <w:r>
        <w:rPr>
          <w:rFonts w:ascii="Calibri" w:hAnsi="Calibri"/>
          <w:b w:val="0"/>
          <w:i w:val="0"/>
          <w:color w:val="1F2937"/>
          <w:sz w:val="22"/>
        </w:rPr>
        <w:t>Strongest AI challenge or alternative explanation.</w:t>
      </w:r>
    </w:p>
    <w:p>
      <w:pPr>
        <w:numPr>
          <w:ilvl w:val="0"/>
          <w:numId w:val="16"/>
        </w:numPr>
      </w:pPr>
      <w:r>
        <w:rPr>
          <w:rFonts w:ascii="Calibri" w:hAnsi="Calibri"/>
          <w:b w:val="0"/>
          <w:i w:val="0"/>
          <w:color w:val="1F2937"/>
          <w:sz w:val="22"/>
        </w:rPr>
        <w:t>SEC, FactSet, Excel, or course evidence independently checked.</w:t>
      </w:r>
    </w:p>
    <w:p>
      <w:pPr>
        <w:numPr>
          <w:ilvl w:val="0"/>
          <w:numId w:val="16"/>
        </w:numPr>
      </w:pPr>
      <w:r>
        <w:rPr>
          <w:rFonts w:ascii="Calibri" w:hAnsi="Calibri"/>
          <w:b w:val="0"/>
          <w:i w:val="0"/>
          <w:color w:val="1F2937"/>
          <w:sz w:val="22"/>
        </w:rPr>
        <w:t>Finding, including uncertainty or limitations.</w:t>
      </w:r>
    </w:p>
    <w:p>
      <w:pPr>
        <w:numPr>
          <w:ilvl w:val="0"/>
          <w:numId w:val="16"/>
        </w:numPr>
      </w:pPr>
      <w:r>
        <w:rPr>
          <w:rFonts w:ascii="Calibri" w:hAnsi="Calibri"/>
          <w:b w:val="0"/>
          <w:i w:val="0"/>
          <w:color w:val="1F2937"/>
          <w:sz w:val="22"/>
        </w:rPr>
        <w:t>Accept, modify, or reject judgment with rationale.</w:t>
      </w:r>
    </w:p>
    <w:p>
      <w:pPr>
        <w:numPr>
          <w:ilvl w:val="0"/>
          <w:numId w:val="16"/>
        </w:numPr>
      </w:pPr>
      <w:r>
        <w:rPr>
          <w:rFonts w:ascii="Calibri" w:hAnsi="Calibri"/>
          <w:b w:val="0"/>
          <w:i w:val="0"/>
          <w:color w:val="1F2937"/>
          <w:sz w:val="22"/>
        </w:rPr>
        <w:t>Revised revenue hypothesis.</w:t>
      </w:r>
    </w:p>
    <w:p>
      <w:pPr>
        <w:numPr>
          <w:ilvl w:val="0"/>
          <w:numId w:val="16"/>
        </w:numPr>
      </w:pPr>
      <w:r>
        <w:rPr>
          <w:rFonts w:ascii="Calibri" w:hAnsi="Calibri"/>
          <w:b w:val="0"/>
          <w:i w:val="0"/>
          <w:color w:val="1F2937"/>
          <w:sz w:val="22"/>
        </w:rPr>
        <w:t>Revised CFO recommendation, two or three supporting actions, alternatives, implementation steps, performance indicators, triggers, and principal risks.</w:t>
      </w:r>
    </w:p>
    <w:p>
      <w:pPr>
        <w:numPr>
          <w:ilvl w:val="0"/>
          <w:numId w:val="16"/>
        </w:numPr>
      </w:pPr>
      <w:r>
        <w:rPr>
          <w:rFonts w:ascii="Calibri" w:hAnsi="Calibri"/>
          <w:b w:val="0"/>
          <w:i w:val="0"/>
          <w:color w:val="1F2937"/>
          <w:sz w:val="22"/>
        </w:rPr>
        <w:t>Checkpoint 4 Q&amp;A rehearsal record and final AI-use disclosure.</w:t>
      </w:r>
    </w:p>
    <w:p>
      <w:pPr>
        <w:pStyle w:val="Heading1"/>
      </w:pPr>
      <w:r>
        <w:rPr>
          <w:rFonts w:ascii="Calibri" w:hAnsi="Calibri"/>
          <w:b/>
          <w:i w:val="0"/>
          <w:color w:val="2E74B5"/>
          <w:sz w:val="32"/>
        </w:rPr>
        <w:t>Evidence and FactSet expectations</w:t>
      </w:r>
    </w:p>
    <w:p>
      <w:pPr>
        <w:pStyle w:val="Heading2"/>
      </w:pPr>
      <w:r>
        <w:rPr>
          <w:rFonts w:ascii="Calibri" w:hAnsi="Calibri"/>
          <w:b/>
          <w:i w:val="0"/>
          <w:color w:val="2E74B5"/>
          <w:sz w:val="26"/>
        </w:rPr>
        <w:t>Required evidence register</w:t>
      </w:r>
    </w:p>
    <w:p>
      <w:r>
        <w:rPr>
          <w:rFonts w:ascii="Calibri" w:hAnsi="Calibri"/>
          <w:b w:val="0"/>
          <w:i w:val="0"/>
          <w:color w:val="1F2937"/>
          <w:sz w:val="22"/>
        </w:rPr>
        <w:t>Maintain one evidence register throughout the semester. Every material quantitative claim, assumption, chart, and recommendation must be traceable. For each item, record:</w:t>
      </w:r>
    </w:p>
    <w:p>
      <w:pPr>
        <w:numPr>
          <w:ilvl w:val="0"/>
          <w:numId w:val="10"/>
        </w:numPr>
      </w:pPr>
      <w:r>
        <w:rPr>
          <w:rFonts w:ascii="Calibri" w:hAnsi="Calibri"/>
          <w:b w:val="0"/>
          <w:i w:val="0"/>
          <w:color w:val="1F2937"/>
          <w:sz w:val="22"/>
        </w:rPr>
        <w:t>Claim, metric, or assumption supported</w:t>
      </w:r>
    </w:p>
    <w:p>
      <w:pPr>
        <w:numPr>
          <w:ilvl w:val="0"/>
          <w:numId w:val="10"/>
        </w:numPr>
      </w:pPr>
      <w:r>
        <w:rPr>
          <w:rFonts w:ascii="Calibri" w:hAnsi="Calibri"/>
          <w:b w:val="0"/>
          <w:i w:val="0"/>
          <w:color w:val="1F2937"/>
          <w:sz w:val="22"/>
        </w:rPr>
        <w:t>Source organization and document or FactSet item</w:t>
      </w:r>
    </w:p>
    <w:p>
      <w:pPr>
        <w:numPr>
          <w:ilvl w:val="0"/>
          <w:numId w:val="10"/>
        </w:numPr>
      </w:pPr>
      <w:r>
        <w:rPr>
          <w:rFonts w:ascii="Calibri" w:hAnsi="Calibri"/>
          <w:b w:val="0"/>
          <w:i w:val="0"/>
          <w:color w:val="1F2937"/>
          <w:sz w:val="22"/>
        </w:rPr>
        <w:t>Filing, report, or data date</w:t>
      </w:r>
    </w:p>
    <w:p>
      <w:pPr>
        <w:numPr>
          <w:ilvl w:val="0"/>
          <w:numId w:val="10"/>
        </w:numPr>
      </w:pPr>
      <w:r>
        <w:rPr>
          <w:rFonts w:ascii="Calibri" w:hAnsi="Calibri"/>
          <w:b w:val="0"/>
          <w:i w:val="0"/>
          <w:color w:val="1F2937"/>
          <w:sz w:val="22"/>
        </w:rPr>
        <w:t>Fiscal period and units</w:t>
      </w:r>
    </w:p>
    <w:p>
      <w:pPr>
        <w:numPr>
          <w:ilvl w:val="0"/>
          <w:numId w:val="10"/>
        </w:numPr>
      </w:pPr>
      <w:r>
        <w:rPr>
          <w:rFonts w:ascii="Calibri" w:hAnsi="Calibri"/>
          <w:b w:val="0"/>
          <w:i w:val="0"/>
          <w:color w:val="1F2937"/>
          <w:sz w:val="22"/>
        </w:rPr>
        <w:t>Metric definition and any adjustments</w:t>
      </w:r>
    </w:p>
    <w:p>
      <w:pPr>
        <w:numPr>
          <w:ilvl w:val="0"/>
          <w:numId w:val="10"/>
        </w:numPr>
      </w:pPr>
      <w:r>
        <w:rPr>
          <w:rFonts w:ascii="Calibri" w:hAnsi="Calibri"/>
          <w:b w:val="0"/>
          <w:i w:val="0"/>
          <w:color w:val="1F2937"/>
          <w:sz w:val="22"/>
        </w:rPr>
        <w:t>Exact filing item, page, table, FactSet screen/report name, or stable link</w:t>
      </w:r>
    </w:p>
    <w:p>
      <w:pPr>
        <w:numPr>
          <w:ilvl w:val="0"/>
          <w:numId w:val="10"/>
        </w:numPr>
      </w:pPr>
      <w:r>
        <w:rPr>
          <w:rFonts w:ascii="Calibri" w:hAnsi="Calibri"/>
          <w:b w:val="0"/>
          <w:i w:val="0"/>
          <w:color w:val="1F2937"/>
          <w:sz w:val="22"/>
        </w:rPr>
        <w:t>Peer group and selection rationale when applicable</w:t>
      </w:r>
    </w:p>
    <w:p>
      <w:pPr>
        <w:numPr>
          <w:ilvl w:val="0"/>
          <w:numId w:val="10"/>
        </w:numPr>
      </w:pPr>
      <w:r>
        <w:rPr>
          <w:rFonts w:ascii="Calibri" w:hAnsi="Calibri"/>
          <w:b w:val="0"/>
          <w:i w:val="0"/>
          <w:color w:val="1F2937"/>
          <w:sz w:val="22"/>
        </w:rPr>
        <w:t>How the evidence is used</w:t>
      </w:r>
    </w:p>
    <w:p>
      <w:pPr>
        <w:numPr>
          <w:ilvl w:val="0"/>
          <w:numId w:val="10"/>
        </w:numPr>
      </w:pPr>
      <w:r>
        <w:rPr>
          <w:rFonts w:ascii="Calibri" w:hAnsi="Calibri"/>
          <w:b w:val="0"/>
          <w:i w:val="0"/>
          <w:color w:val="1F2937"/>
          <w:sz w:val="22"/>
        </w:rPr>
        <w:t>Limitation, comparability issue, or uncertainty</w:t>
      </w:r>
    </w:p>
    <w:p>
      <w:pPr>
        <w:pStyle w:val="Heading2"/>
      </w:pPr>
      <w:r>
        <w:rPr>
          <w:rFonts w:ascii="Calibri" w:hAnsi="Calibri"/>
          <w:b/>
          <w:i w:val="0"/>
          <w:color w:val="2E74B5"/>
          <w:sz w:val="26"/>
        </w:rPr>
        <w:t>SEC evidence</w:t>
      </w:r>
    </w:p>
    <w:p>
      <w:r>
        <w:rPr>
          <w:rFonts w:ascii="Calibri" w:hAnsi="Calibri"/>
          <w:b w:val="0"/>
          <w:i w:val="0"/>
          <w:color w:val="1F2937"/>
          <w:sz w:val="22"/>
        </w:rPr>
        <w:t>Use the company's filings as primary evidence where available. Relevant sources may include Forms 10-K, 10-Q, 8-K, DEF 14A, registration statements, and filed exhibits. Cite the form type, filing date, fiscal period, and specific item, page, or table. A homepage link or a generic reference to "the annual report" is not sufficient.</w:t>
      </w:r>
    </w:p>
    <w:p>
      <w:pPr>
        <w:pStyle w:val="Heading2"/>
      </w:pPr>
      <w:r>
        <w:rPr>
          <w:rFonts w:ascii="Calibri" w:hAnsi="Calibri"/>
          <w:b/>
          <w:i w:val="0"/>
          <w:color w:val="2E74B5"/>
          <w:sz w:val="26"/>
        </w:rPr>
        <w:t>FactSet evidence</w:t>
      </w:r>
    </w:p>
    <w:p>
      <w:r>
        <w:rPr>
          <w:rFonts w:ascii="Calibri" w:hAnsi="Calibri"/>
          <w:b w:val="0"/>
          <w:i w:val="0"/>
          <w:color w:val="1F2937"/>
          <w:sz w:val="22"/>
        </w:rPr>
        <w:t>You may use SEC and FactSet evidence in BUS311 course deliverables. For each FactSet table, chart, estimate, ratio, or peer comparison, label:</w:t>
      </w:r>
    </w:p>
    <w:p>
      <w:pPr>
        <w:numPr>
          <w:ilvl w:val="0"/>
          <w:numId w:val="10"/>
        </w:numPr>
      </w:pPr>
      <w:r>
        <w:rPr>
          <w:rFonts w:ascii="Calibri" w:hAnsi="Calibri"/>
          <w:b w:val="0"/>
          <w:i w:val="0"/>
          <w:color w:val="1F2937"/>
          <w:sz w:val="22"/>
        </w:rPr>
        <w:t>FactSet as the source</w:t>
      </w:r>
    </w:p>
    <w:p>
      <w:pPr>
        <w:numPr>
          <w:ilvl w:val="0"/>
          <w:numId w:val="10"/>
        </w:numPr>
      </w:pPr>
      <w:r>
        <w:rPr>
          <w:rFonts w:ascii="Calibri" w:hAnsi="Calibri"/>
          <w:b w:val="0"/>
          <w:i w:val="0"/>
          <w:color w:val="1F2937"/>
          <w:sz w:val="22"/>
        </w:rPr>
        <w:t>The report, screen, chart, or metric name</w:t>
      </w:r>
    </w:p>
    <w:p>
      <w:pPr>
        <w:numPr>
          <w:ilvl w:val="0"/>
          <w:numId w:val="10"/>
        </w:numPr>
      </w:pPr>
      <w:r>
        <w:rPr>
          <w:rFonts w:ascii="Calibri" w:hAnsi="Calibri"/>
          <w:b w:val="0"/>
          <w:i w:val="0"/>
          <w:color w:val="1F2937"/>
          <w:sz w:val="22"/>
        </w:rPr>
        <w:t>Data-through or retrieval date</w:t>
      </w:r>
    </w:p>
    <w:p>
      <w:pPr>
        <w:numPr>
          <w:ilvl w:val="0"/>
          <w:numId w:val="10"/>
        </w:numPr>
      </w:pPr>
      <w:r>
        <w:rPr>
          <w:rFonts w:ascii="Calibri" w:hAnsi="Calibri"/>
          <w:b w:val="0"/>
          <w:i w:val="0"/>
          <w:color w:val="1F2937"/>
          <w:sz w:val="22"/>
        </w:rPr>
        <w:t>Units, currency, and period</w:t>
      </w:r>
    </w:p>
    <w:p>
      <w:pPr>
        <w:numPr>
          <w:ilvl w:val="0"/>
          <w:numId w:val="10"/>
        </w:numPr>
      </w:pPr>
      <w:r>
        <w:rPr>
          <w:rFonts w:ascii="Calibri" w:hAnsi="Calibri"/>
          <w:b w:val="0"/>
          <w:i w:val="0"/>
          <w:color w:val="1F2937"/>
          <w:sz w:val="22"/>
        </w:rPr>
        <w:t>Metric definition or adjustment when it is not obvious</w:t>
      </w:r>
    </w:p>
    <w:p>
      <w:pPr>
        <w:numPr>
          <w:ilvl w:val="0"/>
          <w:numId w:val="10"/>
        </w:numPr>
      </w:pPr>
      <w:r>
        <w:rPr>
          <w:rFonts w:ascii="Calibri" w:hAnsi="Calibri"/>
          <w:b w:val="0"/>
          <w:i w:val="0"/>
          <w:color w:val="1F2937"/>
          <w:sz w:val="22"/>
        </w:rPr>
        <w:t>Peer group and the reason for the peer selection when applicable</w:t>
      </w:r>
    </w:p>
    <w:p>
      <w:r>
        <w:rPr>
          <w:rFonts w:ascii="Calibri" w:hAnsi="Calibri"/>
          <w:b w:val="0"/>
          <w:i w:val="0"/>
          <w:color w:val="1F2937"/>
          <w:sz w:val="22"/>
        </w:rPr>
        <w:t>FactSet data must remain within permitted course use. Do not post licensed exports or screenshots publicly or upload raw FactSet exports or screenshots to a public AI tool. Use a student-written, sanitized summary when a bounded AI checkpoint needs context.</w:t>
      </w:r>
    </w:p>
    <w:p>
      <w:pPr>
        <w:pStyle w:val="Heading2"/>
      </w:pPr>
      <w:r>
        <w:rPr>
          <w:rFonts w:ascii="Calibri" w:hAnsi="Calibri"/>
          <w:b/>
          <w:i w:val="0"/>
          <w:color w:val="2E74B5"/>
          <w:sz w:val="26"/>
        </w:rPr>
        <w:t>Source integrity rules</w:t>
      </w:r>
    </w:p>
    <w:p>
      <w:pPr>
        <w:numPr>
          <w:ilvl w:val="0"/>
          <w:numId w:val="10"/>
        </w:numPr>
      </w:pPr>
      <w:r>
        <w:rPr>
          <w:rFonts w:ascii="Calibri" w:hAnsi="Calibri"/>
          <w:b w:val="0"/>
          <w:i w:val="0"/>
          <w:color w:val="1F2937"/>
          <w:sz w:val="22"/>
        </w:rPr>
        <w:t>AI output is not a source.</w:t>
      </w:r>
    </w:p>
    <w:p>
      <w:pPr>
        <w:numPr>
          <w:ilvl w:val="0"/>
          <w:numId w:val="10"/>
        </w:numPr>
      </w:pPr>
      <w:r>
        <w:rPr>
          <w:rFonts w:ascii="Calibri" w:hAnsi="Calibri"/>
          <w:b w:val="0"/>
          <w:i w:val="0"/>
          <w:color w:val="1F2937"/>
          <w:sz w:val="22"/>
        </w:rPr>
        <w:t>A chart image is not evidence unless the underlying data and source are identified.</w:t>
      </w:r>
    </w:p>
    <w:p>
      <w:pPr>
        <w:numPr>
          <w:ilvl w:val="0"/>
          <w:numId w:val="10"/>
        </w:numPr>
      </w:pPr>
      <w:r>
        <w:rPr>
          <w:rFonts w:ascii="Calibri" w:hAnsi="Calibri"/>
          <w:b w:val="0"/>
          <w:i w:val="0"/>
          <w:color w:val="1F2937"/>
          <w:sz w:val="22"/>
        </w:rPr>
        <w:t>Do not use AI-generated chart images as financial evidence.</w:t>
      </w:r>
    </w:p>
    <w:p>
      <w:pPr>
        <w:numPr>
          <w:ilvl w:val="0"/>
          <w:numId w:val="10"/>
        </w:numPr>
      </w:pPr>
      <w:r>
        <w:rPr>
          <w:rFonts w:ascii="Calibri" w:hAnsi="Calibri"/>
          <w:b w:val="0"/>
          <w:i w:val="0"/>
          <w:color w:val="1F2937"/>
          <w:sz w:val="22"/>
        </w:rPr>
        <w:t>Reconcile conflicting figures or explain why definitions differ.</w:t>
      </w:r>
    </w:p>
    <w:p>
      <w:pPr>
        <w:numPr>
          <w:ilvl w:val="0"/>
          <w:numId w:val="10"/>
        </w:numPr>
      </w:pPr>
      <w:r>
        <w:rPr>
          <w:rFonts w:ascii="Calibri" w:hAnsi="Calibri"/>
          <w:b w:val="0"/>
          <w:i w:val="0"/>
          <w:color w:val="1F2937"/>
          <w:sz w:val="22"/>
        </w:rPr>
        <w:t>State a limitation when evidence is unavailable; do not invent a number.</w:t>
      </w:r>
    </w:p>
    <w:p>
      <w:pPr>
        <w:numPr>
          <w:ilvl w:val="0"/>
          <w:numId w:val="10"/>
        </w:numPr>
      </w:pPr>
      <w:r>
        <w:rPr>
          <w:rFonts w:ascii="Calibri" w:hAnsi="Calibri"/>
          <w:b w:val="0"/>
          <w:i w:val="0"/>
          <w:color w:val="1F2937"/>
          <w:sz w:val="22"/>
        </w:rPr>
        <w:t>Keep source labels legible in the PPTX and executive summary.</w:t>
      </w:r>
    </w:p>
    <w:p>
      <w:pPr>
        <w:pStyle w:val="Heading1"/>
      </w:pPr>
      <w:r>
        <w:rPr>
          <w:rFonts w:ascii="Calibri" w:hAnsi="Calibri"/>
          <w:b/>
          <w:i w:val="0"/>
          <w:color w:val="2E74B5"/>
          <w:sz w:val="32"/>
        </w:rPr>
        <w:t>Free-tier AI rules: four bounded checkpoints</w:t>
      </w:r>
    </w:p>
    <w:p>
      <w:r>
        <w:rPr>
          <w:rFonts w:ascii="Calibri" w:hAnsi="Calibri"/>
          <w:b w:val="0"/>
          <w:i w:val="0"/>
          <w:color w:val="1F2937"/>
          <w:sz w:val="22"/>
        </w:rPr>
        <w:t>AI may challenge your work, help generate questions, or rehearse skeptical questions. It may not select your final decision, write the analysis for you, supply unverified financial evidence, perform the model in your place, or replace your judgment.</w:t>
      </w:r>
    </w:p>
    <w:p>
      <w:r>
        <w:rPr>
          <w:rFonts w:ascii="Calibri" w:hAnsi="Calibri"/>
          <w:b w:val="0"/>
          <w:i w:val="0"/>
          <w:color w:val="1F2937"/>
          <w:sz w:val="22"/>
        </w:rPr>
        <w:t>Use the C-A-P-A-J process at every checkpoint:</w:t>
      </w:r>
    </w:p>
    <w:p>
      <w:pPr>
        <w:numPr>
          <w:ilvl w:val="0"/>
          <w:numId w:val="17"/>
        </w:numPr>
      </w:pPr>
      <w:r>
        <w:rPr>
          <w:rFonts w:ascii="Calibri" w:hAnsi="Calibri"/>
          <w:b/>
          <w:i w:val="0"/>
          <w:color w:val="1F2937"/>
          <w:sz w:val="22"/>
        </w:rPr>
        <w:t>Context:</w:t>
      </w:r>
      <w:r>
        <w:rPr>
          <w:rFonts w:ascii="Calibri" w:hAnsi="Calibri"/>
          <w:b w:val="0"/>
          <w:i w:val="0"/>
          <w:color w:val="1F2937"/>
          <w:sz w:val="22"/>
        </w:rPr>
        <w:t xml:space="preserve"> Give only the minimum student-written, sanitized context needed.</w:t>
      </w:r>
    </w:p>
    <w:p>
      <w:pPr>
        <w:numPr>
          <w:ilvl w:val="0"/>
          <w:numId w:val="17"/>
        </w:numPr>
      </w:pPr>
      <w:r>
        <w:rPr>
          <w:rFonts w:ascii="Calibri" w:hAnsi="Calibri"/>
          <w:b/>
          <w:i w:val="0"/>
          <w:color w:val="1F2937"/>
          <w:sz w:val="22"/>
        </w:rPr>
        <w:t>Assumptions:</w:t>
      </w:r>
      <w:r>
        <w:rPr>
          <w:rFonts w:ascii="Calibri" w:hAnsi="Calibri"/>
          <w:b w:val="0"/>
          <w:i w:val="0"/>
          <w:color w:val="1F2937"/>
          <w:sz w:val="22"/>
        </w:rPr>
        <w:t xml:space="preserve"> State the assumptions you want challenged.</w:t>
      </w:r>
    </w:p>
    <w:p>
      <w:pPr>
        <w:numPr>
          <w:ilvl w:val="0"/>
          <w:numId w:val="17"/>
        </w:numPr>
      </w:pPr>
      <w:r>
        <w:rPr>
          <w:rFonts w:ascii="Calibri" w:hAnsi="Calibri"/>
          <w:b/>
          <w:i w:val="0"/>
          <w:color w:val="1F2937"/>
          <w:sz w:val="22"/>
        </w:rPr>
        <w:t>Prompt:</w:t>
      </w:r>
      <w:r>
        <w:rPr>
          <w:rFonts w:ascii="Calibri" w:hAnsi="Calibri"/>
          <w:b w:val="0"/>
          <w:i w:val="0"/>
          <w:color w:val="1F2937"/>
          <w:sz w:val="22"/>
        </w:rPr>
        <w:t xml:space="preserve"> Ask a specific skeptical or diagnostic question.</w:t>
      </w:r>
    </w:p>
    <w:p>
      <w:pPr>
        <w:numPr>
          <w:ilvl w:val="0"/>
          <w:numId w:val="17"/>
        </w:numPr>
      </w:pPr>
      <w:r>
        <w:rPr>
          <w:rFonts w:ascii="Calibri" w:hAnsi="Calibri"/>
          <w:b/>
          <w:i w:val="0"/>
          <w:color w:val="1F2937"/>
          <w:sz w:val="22"/>
        </w:rPr>
        <w:t>Assess:</w:t>
      </w:r>
      <w:r>
        <w:rPr>
          <w:rFonts w:ascii="Calibri" w:hAnsi="Calibri"/>
          <w:b w:val="0"/>
          <w:i w:val="0"/>
          <w:color w:val="1F2937"/>
          <w:sz w:val="22"/>
        </w:rPr>
        <w:t xml:space="preserve"> Verify useful output independently with SEC, FactSet, Excel, or course concepts.</w:t>
      </w:r>
    </w:p>
    <w:p>
      <w:pPr>
        <w:numPr>
          <w:ilvl w:val="0"/>
          <w:numId w:val="17"/>
        </w:numPr>
      </w:pPr>
      <w:r>
        <w:rPr>
          <w:rFonts w:ascii="Calibri" w:hAnsi="Calibri"/>
          <w:b/>
          <w:i w:val="0"/>
          <w:color w:val="1F2937"/>
          <w:sz w:val="22"/>
        </w:rPr>
        <w:t>Judge:</w:t>
      </w:r>
      <w:r>
        <w:rPr>
          <w:rFonts w:ascii="Calibri" w:hAnsi="Calibri"/>
          <w:b w:val="0"/>
          <w:i w:val="0"/>
          <w:color w:val="1F2937"/>
          <w:sz w:val="22"/>
        </w:rPr>
        <w:t xml:space="preserve"> Accept, modify, or reject the output and explain your decision.</w:t>
      </w:r>
    </w:p>
    <w:tbl>
      <w:tblPr>
        <w:tblStyle w:val="TableGrid"/>
        <w:tblW w:type="dxa" w:w="9360"/>
        <w:jc w:val="left"/>
        <w:tblLayout w:type="fixed"/>
        <w:tblLook w:firstColumn="1" w:firstRow="1" w:lastColumn="0" w:lastRow="0" w:noHBand="0" w:noVBand="1" w:val="04A0"/>
        <w:tblInd w:type="dxa" w:w="120"/>
      </w:tblPr>
      <w:tblGrid>
        <w:gridCol w:w="2232"/>
        <w:gridCol w:w="3240"/>
        <w:gridCol w:w="3888"/>
      </w:tblGrid>
      <w:tr>
        <w:trPr>
          <w:cantSplit w:val="true"/>
          <w:tblHeader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Checkpoint</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Permitted purpose</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Required student record</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 Question generation</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Generate possible CFO decisions and research directions after you have selected a company.</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Tool, prompt, possible directions considered, retained research leads, independent verification, and your final decision rationale</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2. Revenue-hypothesis challenge</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Ask a skeptical CFO to identify weak assumptions, alternatives, missing variables, and falsification evidence.</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Original hypothesis, strongest challenge, evidence checked, finding, accept/modify/reject judgment, and revised hypothesis</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3. Assumption audit</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Ask AI to inspect a student-written, sanitized assumption list for omissions, internal inconsistency, and scenario risk.</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Assumptions provided, issues raised, calculations or sources checked, corrections made, rejected suggestions, and reason</w:t>
            </w:r>
          </w:p>
        </w:tc>
      </w:tr>
      <w:tr>
        <w:trPr>
          <w:cantSplit w:val="true"/>
        </w:trPr>
        <w:tc>
          <w:tcPr>
            <w:tcW w:type="dxa" w:w="2232"/>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 Board Q&amp;A rehearsal</w:t>
            </w:r>
          </w:p>
        </w:tc>
        <w:tc>
          <w:tcPr>
            <w:tcW w:type="dxa" w:w="32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Rehearse questions on revenue, valuation, implementation, and risk using a student-written summary.</w:t>
            </w:r>
          </w:p>
        </w:tc>
        <w:tc>
          <w:tcPr>
            <w:tcW w:type="dxa" w:w="3888"/>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Questions asked, weak answers identified, evidence rechecked, revisions made, and final disclosure</w:t>
            </w:r>
          </w:p>
        </w:tc>
      </w:tr>
    </w:tbl>
    <w:p>
      <w:pPr>
        <w:spacing w:after="40"/>
      </w:pPr>
    </w:p>
    <w:p>
      <w:r>
        <w:rPr>
          <w:rFonts w:ascii="Calibri" w:hAnsi="Calibri"/>
          <w:b w:val="0"/>
          <w:i w:val="0"/>
          <w:color w:val="1F2937"/>
          <w:sz w:val="22"/>
        </w:rPr>
        <w:t>Every checkpoint is required, but each must work in a free AI version. You are never required to use premium browsing, file upload, spreadsheet analysis, connectors, image generation, or a paid model. Do not upload a workbook, raw FactSet export, FactSet screenshot, personal information, instructor-only material, or nonpublic company information. If you choose not to use a commercial AI tool or cannot access one, request the instructor-provided equivalent challenge prompts and complete the same assess-and-judge record.</w:t>
      </w:r>
    </w:p>
    <w:p>
      <w:r>
        <w:rPr>
          <w:rFonts w:ascii="Calibri" w:hAnsi="Calibri"/>
          <w:b w:val="0"/>
          <w:i w:val="0"/>
          <w:color w:val="1F2937"/>
          <w:sz w:val="22"/>
        </w:rPr>
        <w:t>Your final disclosure must name the tool, checkpoint purposes, output retained, verification performed, and any point at which your judgment overruled the AI. Undisclosed or unverified AI-generated claims, calculations, prose, or visuals do not meet the assignment requirements.</w:t>
      </w:r>
    </w:p>
    <w:p>
      <w:pPr>
        <w:pStyle w:val="Heading1"/>
      </w:pPr>
      <w:r>
        <w:rPr>
          <w:rFonts w:ascii="Calibri" w:hAnsi="Calibri"/>
          <w:b/>
          <w:i w:val="0"/>
          <w:color w:val="2E74B5"/>
          <w:sz w:val="32"/>
        </w:rPr>
        <w:t>Individual-work expectations</w:t>
      </w:r>
    </w:p>
    <w:p>
      <w:r>
        <w:rPr>
          <w:rFonts w:ascii="Calibri" w:hAnsi="Calibri"/>
          <w:b w:val="0"/>
          <w:i w:val="0"/>
          <w:color w:val="1F2937"/>
          <w:sz w:val="22"/>
        </w:rPr>
        <w:t>All company-specific research, evidence selection, analysis, modeling, writing, slides, presentation, and Q&amp;A responses must be your own. You may discuss course concepts and software techniques with classmates, tutors, or the instructor, but you may not share or reuse company-specific analysis, model logic, source notes, written text, charts, slides, or AI records.</w:t>
      </w:r>
    </w:p>
    <w:p>
      <w:r>
        <w:rPr>
          <w:rFonts w:ascii="Calibri" w:hAnsi="Calibri"/>
          <w:b w:val="0"/>
          <w:i w:val="0"/>
          <w:color w:val="1F2937"/>
          <w:sz w:val="22"/>
        </w:rPr>
        <w:t>You are responsible for every figure, formula, statement, and recommendation submitted under your name. During Q&amp;A, you must be able to explain how a number was calculated, why a source was selected, what would change the conclusion, and where uncertainty remains.</w:t>
      </w:r>
    </w:p>
    <w:p>
      <w:r>
        <w:rPr>
          <w:rFonts w:ascii="Calibri" w:hAnsi="Calibri"/>
          <w:b w:val="0"/>
          <w:i w:val="0"/>
          <w:color w:val="1F2937"/>
          <w:sz w:val="22"/>
        </w:rPr>
        <w:t>Document permitted assistance and follow the Endicott College Academic Integrity Policy and BUS311 AI policy. Unauthorized collaboration, fabricated sources, copied analysis, or undisclosed AI substitution may be referred under the applicable academic-integrity process.</w:t>
      </w:r>
    </w:p>
    <w:p>
      <w:pPr>
        <w:pStyle w:val="Heading1"/>
      </w:pPr>
      <w:r>
        <w:rPr>
          <w:rFonts w:ascii="Calibri" w:hAnsi="Calibri"/>
          <w:b/>
          <w:i w:val="0"/>
          <w:color w:val="2E74B5"/>
          <w:sz w:val="32"/>
        </w:rPr>
        <w:t>Final submission requirements</w:t>
      </w:r>
    </w:p>
    <w:p>
      <w:r>
        <w:rPr>
          <w:rFonts w:ascii="Calibri" w:hAnsi="Calibri"/>
          <w:b w:val="0"/>
          <w:i w:val="0"/>
          <w:color w:val="1F2937"/>
          <w:sz w:val="22"/>
        </w:rPr>
        <w:t>Submit exactly two final communication files by Monday, Nov. 30, 2026 at 12:30 p.m. ET, when class begins. This is the shared final-file deadline for every student, regardless of assigned presentation date.</w:t>
      </w:r>
    </w:p>
    <w:p>
      <w:pPr>
        <w:pStyle w:val="Heading2"/>
      </w:pPr>
      <w:r>
        <w:rPr>
          <w:rFonts w:ascii="Calibri" w:hAnsi="Calibri"/>
          <w:b/>
          <w:i w:val="0"/>
          <w:color w:val="2E74B5"/>
          <w:sz w:val="26"/>
        </w:rPr>
        <w:t>File 1 - PPTX Board presentation (40 points)</w:t>
      </w:r>
    </w:p>
    <w:p>
      <w:pPr>
        <w:numPr>
          <w:ilvl w:val="0"/>
          <w:numId w:val="10"/>
        </w:numPr>
      </w:pPr>
      <w:r>
        <w:rPr>
          <w:rFonts w:ascii="Calibri" w:hAnsi="Calibri"/>
          <w:b w:val="0"/>
          <w:i w:val="0"/>
          <w:color w:val="1F2937"/>
          <w:sz w:val="22"/>
        </w:rPr>
        <w:t xml:space="preserve">Microsoft PowerPoint </w:t>
      </w:r>
      <w:r>
        <w:rPr>
          <w:rFonts w:ascii="Menlo" w:hAnsi="Menlo"/>
          <w:b w:val="0"/>
          <w:i w:val="0"/>
          <w:color w:val="1F4D78"/>
          <w:sz w:val="21"/>
        </w:rPr>
        <w:t>.pptx</w:t>
      </w:r>
      <w:r>
        <w:rPr>
          <w:rFonts w:ascii="Calibri" w:hAnsi="Calibri"/>
          <w:b w:val="0"/>
          <w:i w:val="0"/>
          <w:color w:val="1F2937"/>
          <w:sz w:val="22"/>
        </w:rPr>
        <w:t xml:space="preserve"> format</w:t>
      </w:r>
    </w:p>
    <w:p>
      <w:pPr>
        <w:numPr>
          <w:ilvl w:val="0"/>
          <w:numId w:val="10"/>
        </w:numPr>
      </w:pPr>
      <w:r>
        <w:rPr>
          <w:rFonts w:ascii="Calibri" w:hAnsi="Calibri"/>
          <w:b w:val="0"/>
          <w:i w:val="0"/>
          <w:color w:val="1F2937"/>
          <w:sz w:val="22"/>
        </w:rPr>
        <w:t>8-10 core slides; title and source slides count if they are part of the core sequence</w:t>
      </w:r>
    </w:p>
    <w:p>
      <w:pPr>
        <w:numPr>
          <w:ilvl w:val="0"/>
          <w:numId w:val="10"/>
        </w:numPr>
      </w:pPr>
      <w:r>
        <w:rPr>
          <w:rFonts w:ascii="Calibri" w:hAnsi="Calibri"/>
          <w:b w:val="0"/>
          <w:i w:val="0"/>
          <w:color w:val="1F2937"/>
          <w:sz w:val="22"/>
        </w:rPr>
        <w:t>Optional analytical appendix slides do not count toward the 8-10 core-slide limit</w:t>
      </w:r>
    </w:p>
    <w:p>
      <w:pPr>
        <w:numPr>
          <w:ilvl w:val="0"/>
          <w:numId w:val="10"/>
        </w:numPr>
      </w:pPr>
      <w:r>
        <w:rPr>
          <w:rFonts w:ascii="Calibri" w:hAnsi="Calibri"/>
          <w:b w:val="0"/>
          <w:i w:val="0"/>
          <w:color w:val="1F2937"/>
          <w:sz w:val="22"/>
        </w:rPr>
        <w:t>Core sequence must show the decision requested, recommendation, revenue engine, historical sales and drivers, testable hypothesis and red-team result, forecasts and valuation scenarios, supporting actions, implementation, and risks</w:t>
      </w:r>
    </w:p>
    <w:p>
      <w:pPr>
        <w:numPr>
          <w:ilvl w:val="0"/>
          <w:numId w:val="10"/>
        </w:numPr>
      </w:pPr>
      <w:r>
        <w:rPr>
          <w:rFonts w:ascii="Calibri" w:hAnsi="Calibri"/>
          <w:b w:val="0"/>
          <w:i w:val="0"/>
          <w:color w:val="1F2937"/>
          <w:sz w:val="22"/>
        </w:rPr>
        <w:t>Appendix should contain only analytical support needed to defend revenue, model, sensitivity, source, and alternative questions</w:t>
      </w:r>
    </w:p>
    <w:p>
      <w:pPr>
        <w:numPr>
          <w:ilvl w:val="0"/>
          <w:numId w:val="10"/>
        </w:numPr>
      </w:pPr>
      <w:r>
        <w:rPr>
          <w:rFonts w:ascii="Calibri" w:hAnsi="Calibri"/>
          <w:b w:val="0"/>
          <w:i w:val="0"/>
          <w:color w:val="1F2937"/>
          <w:sz w:val="22"/>
        </w:rPr>
        <w:t>Quantitative visuals must be editable or traceable to the underlying Excel, SEC, or permitted FactSet evidence; AI-generated chart images are prohibited as financial evidence</w:t>
      </w:r>
    </w:p>
    <w:p>
      <w:pPr>
        <w:numPr>
          <w:ilvl w:val="0"/>
          <w:numId w:val="10"/>
        </w:numPr>
      </w:pPr>
      <w:r>
        <w:rPr>
          <w:rFonts w:ascii="Calibri" w:hAnsi="Calibri"/>
          <w:b w:val="0"/>
          <w:i w:val="0"/>
          <w:color w:val="1F2937"/>
          <w:sz w:val="22"/>
        </w:rPr>
        <w:t>Include concise source notes and a final AI-use disclosure</w:t>
      </w:r>
    </w:p>
    <w:p>
      <w:pPr>
        <w:pStyle w:val="Heading2"/>
      </w:pPr>
      <w:r>
        <w:rPr>
          <w:rFonts w:ascii="Calibri" w:hAnsi="Calibri"/>
          <w:b/>
          <w:i w:val="0"/>
          <w:color w:val="2E74B5"/>
          <w:sz w:val="26"/>
        </w:rPr>
        <w:t>File 2 - One-page executive summary PDF (15 points)</w:t>
      </w:r>
    </w:p>
    <w:p>
      <w:pPr>
        <w:numPr>
          <w:ilvl w:val="0"/>
          <w:numId w:val="10"/>
        </w:numPr>
      </w:pPr>
      <w:r>
        <w:rPr>
          <w:rFonts w:ascii="Calibri" w:hAnsi="Calibri"/>
          <w:b w:val="0"/>
          <w:i w:val="0"/>
          <w:color w:val="1F2937"/>
          <w:sz w:val="22"/>
        </w:rPr>
        <w:t>One accessible PDF page at U.S. Letter size and normal print settings</w:t>
      </w:r>
    </w:p>
    <w:p>
      <w:pPr>
        <w:numPr>
          <w:ilvl w:val="0"/>
          <w:numId w:val="10"/>
        </w:numPr>
      </w:pPr>
      <w:r>
        <w:rPr>
          <w:rFonts w:ascii="Calibri" w:hAnsi="Calibri"/>
          <w:b w:val="0"/>
          <w:i w:val="0"/>
          <w:color w:val="1F2937"/>
          <w:sz w:val="22"/>
        </w:rPr>
        <w:t>Addressed to the selected company's CFO and Board</w:t>
      </w:r>
    </w:p>
    <w:p>
      <w:pPr>
        <w:numPr>
          <w:ilvl w:val="0"/>
          <w:numId w:val="10"/>
        </w:numPr>
      </w:pPr>
      <w:r>
        <w:rPr>
          <w:rFonts w:ascii="Calibri" w:hAnsi="Calibri"/>
          <w:b w:val="0"/>
          <w:i w:val="0"/>
          <w:color w:val="1F2937"/>
          <w:sz w:val="22"/>
        </w:rPr>
        <w:t>Must state the decision requested, revenue-engine and operating thesis, testable hypothesis and red-team change, valuation/scenario conclusion, recommended action, two or three supporting actions, implementation priorities, responsible functions, timing, performance indicators, triggers, risks, tradeoffs, mitigations, compact source notes, and AI-use disclosure</w:t>
      </w:r>
    </w:p>
    <w:p>
      <w:pPr>
        <w:numPr>
          <w:ilvl w:val="0"/>
          <w:numId w:val="10"/>
        </w:numPr>
      </w:pPr>
      <w:r>
        <w:rPr>
          <w:rFonts w:ascii="Calibri" w:hAnsi="Calibri"/>
          <w:b w:val="0"/>
          <w:i w:val="0"/>
          <w:color w:val="1F2937"/>
          <w:sz w:val="22"/>
        </w:rPr>
        <w:t>Use readable type, headings, and meaningful labels; do not reduce text to an unreadable size to force content onto one page</w:t>
      </w:r>
    </w:p>
    <w:p>
      <w:pPr>
        <w:numPr>
          <w:ilvl w:val="0"/>
          <w:numId w:val="10"/>
        </w:numPr>
      </w:pPr>
      <w:r>
        <w:rPr>
          <w:rFonts w:ascii="Calibri" w:hAnsi="Calibri"/>
          <w:b w:val="0"/>
          <w:i w:val="0"/>
          <w:color w:val="1F2937"/>
          <w:sz w:val="22"/>
        </w:rPr>
        <w:t>Retain the editable source file in case the instructor requests an accessibility or layout correction, but submit only the PDF unless Canvas states otherwise</w:t>
      </w:r>
    </w:p>
    <w:p>
      <w:pPr>
        <w:pStyle w:val="Heading2"/>
      </w:pPr>
      <w:r>
        <w:rPr>
          <w:rFonts w:ascii="Calibri" w:hAnsi="Calibri"/>
          <w:b/>
          <w:i w:val="0"/>
          <w:color w:val="2E74B5"/>
          <w:sz w:val="26"/>
        </w:rPr>
        <w:t>File naming</w:t>
      </w:r>
    </w:p>
    <w:p>
      <w:r>
        <w:rPr>
          <w:rFonts w:ascii="Calibri" w:hAnsi="Calibri"/>
          <w:b w:val="0"/>
          <w:i w:val="0"/>
          <w:color w:val="1F2937"/>
          <w:sz w:val="22"/>
        </w:rPr>
        <w:t>Use the naming pattern below, replacing bracketed text without adding spaces:</w:t>
      </w:r>
    </w:p>
    <w:p>
      <w:pPr>
        <w:numPr>
          <w:ilvl w:val="0"/>
          <w:numId w:val="10"/>
        </w:numPr>
      </w:pPr>
      <w:r>
        <w:rPr>
          <w:rFonts w:ascii="Menlo" w:hAnsi="Menlo"/>
          <w:b w:val="0"/>
          <w:i w:val="0"/>
          <w:color w:val="1F4D78"/>
          <w:sz w:val="21"/>
        </w:rPr>
        <w:t>BUS311_[LastName]_[Ticker]_BoardBrief.pptx</w:t>
      </w:r>
    </w:p>
    <w:p>
      <w:pPr>
        <w:numPr>
          <w:ilvl w:val="0"/>
          <w:numId w:val="10"/>
        </w:numPr>
      </w:pPr>
      <w:r>
        <w:rPr>
          <w:rFonts w:ascii="Menlo" w:hAnsi="Menlo"/>
          <w:b w:val="0"/>
          <w:i w:val="0"/>
          <w:color w:val="1F4D78"/>
          <w:sz w:val="21"/>
        </w:rPr>
        <w:t>BUS311_[LastName]_[Ticker]_ExecutiveSummary.pdf</w:t>
      </w:r>
    </w:p>
    <w:p>
      <w:r>
        <w:rPr>
          <w:rFonts w:ascii="Calibri" w:hAnsi="Calibri"/>
          <w:b w:val="0"/>
          <w:i w:val="0"/>
          <w:color w:val="1F2937"/>
          <w:sz w:val="22"/>
        </w:rPr>
        <w:t>Before submitting, open both final files from the saved copies and confirm that fonts, charts, links, source notes, and page or slide limits display correctly.</w:t>
      </w:r>
    </w:p>
    <w:p>
      <w:pPr>
        <w:pStyle w:val="Heading1"/>
      </w:pPr>
      <w:r>
        <w:rPr>
          <w:rFonts w:ascii="Calibri" w:hAnsi="Calibri"/>
          <w:b/>
          <w:i w:val="0"/>
          <w:color w:val="2E74B5"/>
          <w:sz w:val="32"/>
        </w:rPr>
        <w:t>Presentation and individual Q&amp;A</w:t>
      </w:r>
    </w:p>
    <w:p>
      <w:r>
        <w:rPr>
          <w:rFonts w:ascii="Calibri" w:hAnsi="Calibri"/>
          <w:b w:val="0"/>
          <w:i w:val="0"/>
          <w:color w:val="1F2937"/>
          <w:sz w:val="22"/>
        </w:rPr>
        <w:t>You will present on the assigned date as if briefing the company's CFO and Board.</w:t>
      </w:r>
    </w:p>
    <w:p>
      <w:pPr>
        <w:pStyle w:val="Heading2"/>
      </w:pPr>
      <w:r>
        <w:rPr>
          <w:rFonts w:ascii="Calibri" w:hAnsi="Calibri"/>
          <w:b/>
          <w:i w:val="0"/>
          <w:color w:val="2E74B5"/>
          <w:sz w:val="26"/>
        </w:rPr>
        <w:t>Seven-minute Board briefing</w:t>
      </w:r>
    </w:p>
    <w:p>
      <w:pPr>
        <w:numPr>
          <w:ilvl w:val="0"/>
          <w:numId w:val="10"/>
        </w:numPr>
      </w:pPr>
      <w:r>
        <w:rPr>
          <w:rFonts w:ascii="Calibri" w:hAnsi="Calibri"/>
          <w:b w:val="0"/>
          <w:i w:val="0"/>
          <w:color w:val="1F2937"/>
          <w:sz w:val="22"/>
        </w:rPr>
        <w:t>Start with the decision requested and your recommendation.</w:t>
      </w:r>
    </w:p>
    <w:p>
      <w:pPr>
        <w:numPr>
          <w:ilvl w:val="0"/>
          <w:numId w:val="10"/>
        </w:numPr>
      </w:pPr>
      <w:r>
        <w:rPr>
          <w:rFonts w:ascii="Calibri" w:hAnsi="Calibri"/>
          <w:b w:val="0"/>
          <w:i w:val="0"/>
          <w:color w:val="1F2937"/>
          <w:sz w:val="22"/>
        </w:rPr>
        <w:t>Use the core deck, not the appendix, to communicate the required argument.</w:t>
      </w:r>
    </w:p>
    <w:p>
      <w:pPr>
        <w:numPr>
          <w:ilvl w:val="0"/>
          <w:numId w:val="10"/>
        </w:numPr>
      </w:pPr>
      <w:r>
        <w:rPr>
          <w:rFonts w:ascii="Calibri" w:hAnsi="Calibri"/>
          <w:b w:val="0"/>
          <w:i w:val="0"/>
          <w:color w:val="1F2937"/>
          <w:sz w:val="22"/>
        </w:rPr>
        <w:t>Explain the revenue evidence before relying on valuation conclusions.</w:t>
      </w:r>
    </w:p>
    <w:p>
      <w:pPr>
        <w:numPr>
          <w:ilvl w:val="0"/>
          <w:numId w:val="10"/>
        </w:numPr>
      </w:pPr>
      <w:r>
        <w:rPr>
          <w:rFonts w:ascii="Calibri" w:hAnsi="Calibri"/>
          <w:b w:val="0"/>
          <w:i w:val="0"/>
          <w:color w:val="1F2937"/>
          <w:sz w:val="22"/>
        </w:rPr>
        <w:t>Prioritize the analysis that changes the decision; do not narrate every slide or model tab.</w:t>
      </w:r>
    </w:p>
    <w:p>
      <w:pPr>
        <w:numPr>
          <w:ilvl w:val="0"/>
          <w:numId w:val="10"/>
        </w:numPr>
      </w:pPr>
      <w:r>
        <w:rPr>
          <w:rFonts w:ascii="Calibri" w:hAnsi="Calibri"/>
          <w:b w:val="0"/>
          <w:i w:val="0"/>
          <w:color w:val="1F2937"/>
          <w:sz w:val="22"/>
        </w:rPr>
        <w:t>Finish within seven minutes. The instructor may stop the briefing at the time limit so every student receives the same presentation opportunity.</w:t>
      </w:r>
    </w:p>
    <w:p>
      <w:pPr>
        <w:pStyle w:val="Heading2"/>
      </w:pPr>
      <w:r>
        <w:rPr>
          <w:rFonts w:ascii="Calibri" w:hAnsi="Calibri"/>
          <w:b/>
          <w:i w:val="0"/>
          <w:color w:val="2E74B5"/>
          <w:sz w:val="26"/>
        </w:rPr>
        <w:t>Three-minute individual Q&amp;A</w:t>
      </w:r>
    </w:p>
    <w:p>
      <w:pPr>
        <w:numPr>
          <w:ilvl w:val="0"/>
          <w:numId w:val="10"/>
        </w:numPr>
      </w:pPr>
      <w:r>
        <w:rPr>
          <w:rFonts w:ascii="Calibri" w:hAnsi="Calibri"/>
          <w:b w:val="0"/>
          <w:i w:val="0"/>
          <w:color w:val="1F2937"/>
          <w:sz w:val="22"/>
        </w:rPr>
        <w:t>Answer questions about revenue drivers, the testable hypothesis, sources, model assumptions, calculations, sensitivities, alternatives, implementation, and risks.</w:t>
      </w:r>
    </w:p>
    <w:p>
      <w:pPr>
        <w:numPr>
          <w:ilvl w:val="0"/>
          <w:numId w:val="10"/>
        </w:numPr>
      </w:pPr>
      <w:r>
        <w:rPr>
          <w:rFonts w:ascii="Calibri" w:hAnsi="Calibri"/>
          <w:b w:val="0"/>
          <w:i w:val="0"/>
          <w:color w:val="1F2937"/>
          <w:sz w:val="22"/>
        </w:rPr>
        <w:t>Use appendix slides when they help answer a question, but do not use the appendix to hide a missing core requirement.</w:t>
      </w:r>
    </w:p>
    <w:p>
      <w:pPr>
        <w:numPr>
          <w:ilvl w:val="0"/>
          <w:numId w:val="10"/>
        </w:numPr>
      </w:pPr>
      <w:r>
        <w:rPr>
          <w:rFonts w:ascii="Calibri" w:hAnsi="Calibri"/>
          <w:b w:val="0"/>
          <w:i w:val="0"/>
          <w:color w:val="1F2937"/>
          <w:sz w:val="22"/>
        </w:rPr>
        <w:t>If you do not know an answer, state the limitation and explain what evidence or calculation you would use next.</w:t>
      </w:r>
    </w:p>
    <w:p>
      <w:pPr>
        <w:numPr>
          <w:ilvl w:val="0"/>
          <w:numId w:val="10"/>
        </w:numPr>
      </w:pPr>
      <w:r>
        <w:rPr>
          <w:rFonts w:ascii="Calibri" w:hAnsi="Calibri"/>
          <w:b w:val="0"/>
          <w:i w:val="0"/>
          <w:color w:val="1F2937"/>
          <w:sz w:val="22"/>
        </w:rPr>
        <w:t>Your answers must demonstrate individual ownership of the model and recommendation.</w:t>
      </w:r>
    </w:p>
    <w:p>
      <w:r>
        <w:rPr>
          <w:rFonts w:ascii="Calibri" w:hAnsi="Calibri"/>
          <w:b w:val="0"/>
          <w:i w:val="0"/>
          <w:color w:val="1F2937"/>
          <w:sz w:val="22"/>
        </w:rPr>
        <w:t>Presentation sessions are scheduled for Nov. 30, Dec. 2, Dec. 7, and Dec. 9, 2026, with a target of five presenters per class. The instructor will publish the order. Students are expected to attend the required sessions and participate in the professional Q&amp;A environment. Absences and make-up presentations follow the applicable college and course policy and require prompt instructor communication.</w:t>
      </w:r>
    </w:p>
    <w:p>
      <w:pPr>
        <w:pStyle w:val="Heading1"/>
      </w:pPr>
      <w:r>
        <w:rPr>
          <w:rFonts w:ascii="Calibri" w:hAnsi="Calibri"/>
          <w:b/>
          <w:i w:val="0"/>
          <w:color w:val="2E74B5"/>
          <w:sz w:val="32"/>
        </w:rPr>
        <w:t>Accessibility and professional-quality checklist</w:t>
      </w:r>
    </w:p>
    <w:p>
      <w:r>
        <w:rPr>
          <w:rFonts w:ascii="Calibri" w:hAnsi="Calibri"/>
          <w:b w:val="0"/>
          <w:i w:val="0"/>
          <w:color w:val="1F2937"/>
          <w:sz w:val="22"/>
        </w:rPr>
        <w:t>Before each milestone and final submission, confirm that:</w:t>
      </w:r>
    </w:p>
    <w:p>
      <w:pPr>
        <w:numPr>
          <w:ilvl w:val="0"/>
          <w:numId w:val="10"/>
        </w:numPr>
      </w:pPr>
      <w:r>
        <w:rPr>
          <w:rFonts w:ascii="Calibri" w:hAnsi="Calibri"/>
          <w:b w:val="0"/>
          <w:i w:val="0"/>
          <w:color w:val="1F2937"/>
          <w:sz w:val="22"/>
        </w:rPr>
        <w:t>Headings follow a logical hierarchy.</w:t>
      </w:r>
    </w:p>
    <w:p>
      <w:pPr>
        <w:numPr>
          <w:ilvl w:val="0"/>
          <w:numId w:val="10"/>
        </w:numPr>
      </w:pPr>
      <w:r>
        <w:rPr>
          <w:rFonts w:ascii="Calibri" w:hAnsi="Calibri"/>
          <w:b w:val="0"/>
          <w:i w:val="0"/>
          <w:color w:val="1F2937"/>
          <w:sz w:val="22"/>
        </w:rPr>
        <w:t>Tables have header rows and are readable without zooming excessively.</w:t>
      </w:r>
    </w:p>
    <w:p>
      <w:pPr>
        <w:numPr>
          <w:ilvl w:val="0"/>
          <w:numId w:val="10"/>
        </w:numPr>
      </w:pPr>
      <w:r>
        <w:rPr>
          <w:rFonts w:ascii="Calibri" w:hAnsi="Calibri"/>
          <w:b w:val="0"/>
          <w:i w:val="0"/>
          <w:color w:val="1F2937"/>
          <w:sz w:val="22"/>
        </w:rPr>
        <w:t>Charts have descriptive titles, labeled axes, units, periods, and source notes.</w:t>
      </w:r>
    </w:p>
    <w:p>
      <w:pPr>
        <w:numPr>
          <w:ilvl w:val="0"/>
          <w:numId w:val="10"/>
        </w:numPr>
      </w:pPr>
      <w:r>
        <w:rPr>
          <w:rFonts w:ascii="Calibri" w:hAnsi="Calibri"/>
          <w:b w:val="0"/>
          <w:i w:val="0"/>
          <w:color w:val="1F2937"/>
          <w:sz w:val="22"/>
        </w:rPr>
        <w:t>Color is not the only way information is communicated.</w:t>
      </w:r>
    </w:p>
    <w:p>
      <w:pPr>
        <w:numPr>
          <w:ilvl w:val="0"/>
          <w:numId w:val="10"/>
        </w:numPr>
      </w:pPr>
      <w:r>
        <w:rPr>
          <w:rFonts w:ascii="Calibri" w:hAnsi="Calibri"/>
          <w:b w:val="0"/>
          <w:i w:val="0"/>
          <w:color w:val="1F2937"/>
          <w:sz w:val="22"/>
        </w:rPr>
        <w:t>Text and chart elements have sufficient contrast.</w:t>
      </w:r>
    </w:p>
    <w:p>
      <w:pPr>
        <w:numPr>
          <w:ilvl w:val="0"/>
          <w:numId w:val="10"/>
        </w:numPr>
      </w:pPr>
      <w:r>
        <w:rPr>
          <w:rFonts w:ascii="Calibri" w:hAnsi="Calibri"/>
          <w:b w:val="0"/>
          <w:i w:val="0"/>
          <w:color w:val="1F2937"/>
          <w:sz w:val="22"/>
        </w:rPr>
        <w:t>Images and non-text visuals have meaningful alt text in PPTX or the source document.</w:t>
      </w:r>
    </w:p>
    <w:p>
      <w:pPr>
        <w:numPr>
          <w:ilvl w:val="0"/>
          <w:numId w:val="10"/>
        </w:numPr>
      </w:pPr>
      <w:r>
        <w:rPr>
          <w:rFonts w:ascii="Calibri" w:hAnsi="Calibri"/>
          <w:b w:val="0"/>
          <w:i w:val="0"/>
          <w:color w:val="1F2937"/>
          <w:sz w:val="22"/>
        </w:rPr>
        <w:t>PowerPoint reading order is logical, and every slide has a unique title.</w:t>
      </w:r>
    </w:p>
    <w:p>
      <w:pPr>
        <w:numPr>
          <w:ilvl w:val="0"/>
          <w:numId w:val="10"/>
        </w:numPr>
      </w:pPr>
      <w:r>
        <w:rPr>
          <w:rFonts w:ascii="Calibri" w:hAnsi="Calibri"/>
          <w:b w:val="0"/>
          <w:i w:val="0"/>
          <w:color w:val="1F2937"/>
          <w:sz w:val="22"/>
        </w:rPr>
        <w:t>Links use descriptive text rather than raw URLs when space allows.</w:t>
      </w:r>
    </w:p>
    <w:p>
      <w:pPr>
        <w:numPr>
          <w:ilvl w:val="0"/>
          <w:numId w:val="10"/>
        </w:numPr>
      </w:pPr>
      <w:r>
        <w:rPr>
          <w:rFonts w:ascii="Calibri" w:hAnsi="Calibri"/>
          <w:b w:val="0"/>
          <w:i w:val="0"/>
          <w:color w:val="1F2937"/>
          <w:sz w:val="22"/>
        </w:rPr>
        <w:t>FactSet, SEC, and model evidence is labeled with dates and definitions.</w:t>
      </w:r>
    </w:p>
    <w:p>
      <w:pPr>
        <w:numPr>
          <w:ilvl w:val="0"/>
          <w:numId w:val="10"/>
        </w:numPr>
      </w:pPr>
      <w:r>
        <w:rPr>
          <w:rFonts w:ascii="Calibri" w:hAnsi="Calibri"/>
          <w:b w:val="0"/>
          <w:i w:val="0"/>
          <w:color w:val="1F2937"/>
          <w:sz w:val="22"/>
        </w:rPr>
        <w:t>The one-page summary remains readable at normal print size.</w:t>
      </w:r>
    </w:p>
    <w:p>
      <w:pPr>
        <w:numPr>
          <w:ilvl w:val="0"/>
          <w:numId w:val="10"/>
        </w:numPr>
      </w:pPr>
      <w:r>
        <w:rPr>
          <w:rFonts w:ascii="Calibri" w:hAnsi="Calibri"/>
          <w:b w:val="0"/>
          <w:i w:val="0"/>
          <w:color w:val="1F2937"/>
          <w:sz w:val="22"/>
        </w:rPr>
        <w:t>The deck can be understood by a CFO or Board member who has not seen your model.</w:t>
      </w:r>
    </w:p>
    <w:p>
      <w:pPr>
        <w:numPr>
          <w:ilvl w:val="0"/>
          <w:numId w:val="10"/>
        </w:numPr>
      </w:pPr>
      <w:r>
        <w:rPr>
          <w:rFonts w:ascii="Calibri" w:hAnsi="Calibri"/>
          <w:b w:val="0"/>
          <w:i w:val="0"/>
          <w:color w:val="1F2937"/>
          <w:sz w:val="22"/>
        </w:rPr>
        <w:t>Microsoft Office Accessibility Checker issues have been reviewed and corrected or explained.</w:t>
      </w:r>
    </w:p>
    <w:p>
      <w:pPr>
        <w:pStyle w:val="Heading1"/>
      </w:pPr>
      <w:r>
        <w:rPr>
          <w:rFonts w:ascii="Calibri" w:hAnsi="Calibri"/>
          <w:b/>
          <w:i w:val="0"/>
          <w:color w:val="2E74B5"/>
          <w:sz w:val="32"/>
        </w:rPr>
        <w:t>100-point assessment overview</w:t>
      </w:r>
    </w:p>
    <w:p>
      <w:r>
        <w:rPr>
          <w:rFonts w:ascii="Calibri" w:hAnsi="Calibri"/>
          <w:b w:val="0"/>
          <w:i w:val="0"/>
          <w:color w:val="1F2937"/>
          <w:sz w:val="22"/>
        </w:rPr>
        <w:t>The project is scored out of 100 points. It contributes 25% of the BUS311 course grade; therefore, each project point equals 0.25 percentage points toward the final course grade.</w:t>
      </w:r>
    </w:p>
    <w:p>
      <w:pPr>
        <w:pStyle w:val="Heading2"/>
      </w:pPr>
      <w:r>
        <w:rPr>
          <w:rFonts w:ascii="Calibri" w:hAnsi="Calibri"/>
          <w:b/>
          <w:i w:val="0"/>
          <w:color w:val="2E74B5"/>
          <w:sz w:val="26"/>
        </w:rPr>
        <w:t>Milestones, Excel model, and revision - 25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 and approved CFO decision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 fit, material decision, alternatives, two or three supporting actions, evidence-register setup, and initial research questions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and initial hypothesis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Sales structure, 3-5-year history, driver decomposition, peers, leading indicators, risks, testable hypothesis, and verified AI challenge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Valuation model and scenarios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8</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Revenue-linked forecasts, sourced assumptions, correct finance logic, visible checks, base/upside/downside scenarios, sensitivities, and decision outputs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 red team and revision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4</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Accept/modify/reject record, revised hypothesis, recommendation logic, implementation, risks, Q&amp;A rehearsal, and disclosure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Milestone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25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pStyle w:val="Heading2"/>
      </w:pPr>
      <w:r>
        <w:rPr>
          <w:rFonts w:ascii="Calibri" w:hAnsi="Calibri"/>
          <w:b/>
          <w:i w:val="0"/>
          <w:color w:val="2E74B5"/>
          <w:sz w:val="26"/>
        </w:rPr>
        <w:t>One-page executive summary - 15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CFO-ready synthesis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Decision requested, revenue and valuation thesis, recommended action, supporting actions, implementation priorities, responsible functions, timing, indicators, triggers, principal risks, sources, and disclosure</w:t>
            </w:r>
          </w:p>
        </w:tc>
      </w:tr>
    </w:tbl>
    <w:p>
      <w:pPr>
        <w:spacing w:after="40"/>
      </w:pPr>
    </w:p>
    <w:p>
      <w:pPr>
        <w:pStyle w:val="Heading2"/>
      </w:pPr>
      <w:r>
        <w:rPr>
          <w:rFonts w:ascii="Calibri" w:hAnsi="Calibri"/>
          <w:b/>
          <w:i w:val="0"/>
          <w:color w:val="2E74B5"/>
          <w:sz w:val="26"/>
        </w:rPr>
        <w:t>PPTX Board presentation - 40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engine and operating diagnosis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Company-specific sales model, 3-5-year evidence, driver decomposition, hypothesis, leading indicators, risks, and decision relevance</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Valuation and scenarios</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Revenue-linked assumptions, model outputs, sensitivities, market expectations, scenario differences, and limitations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CFO recommendation and implementation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Prioritized action, alternatives, tradeoffs, two or three supporting actions, timing, responsible functions, performance indicators, triggers, and mitigations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Visual evidence and source integrity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Readable and accessible SEC/FactSet/model-linked visuals, dates, definitions, source labels, traceability, and no unsupported AI figures</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PPTX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40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pStyle w:val="Heading2"/>
      </w:pPr>
      <w:r>
        <w:rPr>
          <w:rFonts w:ascii="Calibri" w:hAnsi="Calibri"/>
          <w:b/>
          <w:i w:val="0"/>
          <w:color w:val="2E74B5"/>
          <w:sz w:val="26"/>
        </w:rPr>
        <w:t>Individual delivery and Q&amp;A - 20 points</w:t>
      </w:r>
    </w:p>
    <w:tbl>
      <w:tblPr>
        <w:tblStyle w:val="TableGrid"/>
        <w:tblW w:type="dxa" w:w="9360"/>
        <w:jc w:val="left"/>
        <w:tblLayout w:type="fixed"/>
        <w:tblLook w:firstColumn="1" w:firstRow="1" w:lastColumn="0" w:lastRow="0" w:noHBand="0" w:noVBand="1" w:val="04A0"/>
        <w:tblInd w:type="dxa" w:w="120"/>
      </w:tblPr>
      <w:tblGrid>
        <w:gridCol w:w="3384"/>
        <w:gridCol w:w="936"/>
        <w:gridCol w:w="5040"/>
      </w:tblGrid>
      <w:tr>
        <w:trPr>
          <w:cantSplit w:val="true"/>
          <w:tblHeader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Criterion</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center"/>
            </w:pPr>
            <w:r>
              <w:rPr>
                <w:rFonts w:ascii="Calibri" w:hAnsi="Calibri"/>
                <w:b/>
                <w:i w:val="0"/>
                <w:color w:val="17365D"/>
                <w:sz w:val="18"/>
              </w:rPr>
              <w:t>Points</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2F4F7"/>
            <w:tcMar>
              <w:top w:w="80" w:type="dxa"/>
              <w:bottom w:w="80" w:type="dxa"/>
              <w:start w:w="120" w:type="dxa"/>
              <w:end w:w="120" w:type="dxa"/>
            </w:tcMar>
          </w:tcPr>
          <w:p>
            <w:pPr>
              <w:spacing w:before="0" w:after="40" w:line="252" w:lineRule="auto"/>
              <w:jc w:val="left"/>
            </w:pPr>
            <w:r>
              <w:rPr>
                <w:rFonts w:ascii="Calibri" w:hAnsi="Calibri"/>
                <w:b/>
                <w:i w:val="0"/>
                <w:color w:val="17365D"/>
                <w:sz w:val="18"/>
              </w:rPr>
              <w:t>Evidence used for scoring</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Executive delivery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val="0"/>
                <w:i w:val="0"/>
                <w:color w:val="1F2937"/>
                <w:sz w:val="18"/>
              </w:rPr>
              <w:t>Seven-minute timing, presence, clarity, accessibility, audience fit, and individual ownership</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Revenue, valuation, and model mastery</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center"/>
            </w:pPr>
            <w:r>
              <w:rPr>
                <w:rFonts w:ascii="Calibri" w:hAnsi="Calibri"/>
                <w:b w:val="0"/>
                <w:i w:val="0"/>
                <w:color w:val="1F2937"/>
                <w:sz w:val="18"/>
              </w:rPr>
              <w:t>15</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shd w:fill="FAFBFC"/>
            <w:tcMar>
              <w:top w:w="80" w:type="dxa"/>
              <w:bottom w:w="80" w:type="dxa"/>
              <w:start w:w="120" w:type="dxa"/>
              <w:end w:w="120" w:type="dxa"/>
            </w:tcMar>
          </w:tcPr>
          <w:p>
            <w:pPr>
              <w:spacing w:before="0" w:after="40" w:line="252" w:lineRule="auto"/>
              <w:jc w:val="left"/>
            </w:pPr>
            <w:r>
              <w:rPr>
                <w:rFonts w:ascii="Calibri" w:hAnsi="Calibri"/>
                <w:b w:val="0"/>
                <w:i w:val="0"/>
                <w:color w:val="1F2937"/>
                <w:sz w:val="18"/>
              </w:rPr>
              <w:t>Accurate defense of sales drivers, hypothesis, assumptions, calculations, sensitivities, sources, risks, alternatives, and uncertainty</w:t>
            </w:r>
          </w:p>
        </w:tc>
      </w:tr>
      <w:tr>
        <w:trPr>
          <w:cantSplit w:val="true"/>
        </w:trPr>
        <w:tc>
          <w:tcPr>
            <w:tcW w:type="dxa" w:w="3384"/>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r>
              <w:rPr>
                <w:rFonts w:ascii="Calibri" w:hAnsi="Calibri"/>
                <w:b/>
                <w:i w:val="0"/>
                <w:color w:val="1F2937"/>
                <w:sz w:val="18"/>
              </w:rPr>
              <w:t>Delivery/Q&amp;A subtotal</w:t>
            </w:r>
          </w:p>
        </w:tc>
        <w:tc>
          <w:tcPr>
            <w:tcW w:type="dxa" w:w="936"/>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center"/>
            </w:pPr>
            <w:r>
              <w:rPr>
                <w:rFonts w:ascii="Calibri" w:hAnsi="Calibri"/>
                <w:b/>
                <w:i w:val="0"/>
                <w:color w:val="1F2937"/>
                <w:sz w:val="18"/>
              </w:rPr>
              <w:t>20</w:t>
            </w:r>
          </w:p>
        </w:tc>
        <w:tc>
          <w:tcPr>
            <w:tcW w:type="dxa" w:w="5040"/>
            <w:vAlign w:val="center"/>
            <w:tcBorders>
              <w:top w:val="single" w:sz="6" w:color="B8C2CC"/>
              <w:left w:val="single" w:sz="6" w:color="B8C2CC"/>
              <w:bottom w:val="single" w:sz="6" w:color="B8C2CC"/>
              <w:right w:val="single" w:sz="6" w:color="B8C2CC"/>
              <w:insideH w:val="single" w:sz="6" w:color="B8C2CC"/>
              <w:insideV w:val="single" w:sz="6" w:color="B8C2CC"/>
            </w:tcBorders>
            <w:tcMar>
              <w:top w:w="80" w:type="dxa"/>
              <w:bottom w:w="80" w:type="dxa"/>
              <w:start w:w="120" w:type="dxa"/>
              <w:end w:w="120" w:type="dxa"/>
            </w:tcMar>
          </w:tcPr>
          <w:p>
            <w:pPr>
              <w:spacing w:before="0" w:after="40" w:line="252" w:lineRule="auto"/>
              <w:jc w:val="left"/>
            </w:pPr>
          </w:p>
        </w:tc>
      </w:tr>
    </w:tbl>
    <w:p>
      <w:pPr>
        <w:spacing w:after="40"/>
      </w:pPr>
    </w:p>
    <w:p>
      <w:pPr>
        <w:shd w:fill="E8EEF5"/>
        <w:pBdr>
          <w:left w:val="single" w:sz="18" w:space="8" w:color="2E74B5"/>
        </w:pBdr>
        <w:spacing w:before="120" w:after="200"/>
        <w:ind w:left="216" w:right="115"/>
      </w:pPr>
      <w:r>
        <w:rPr>
          <w:rFonts w:ascii="Calibri" w:hAnsi="Calibri"/>
          <w:b/>
          <w:i w:val="0"/>
          <w:color w:val="1F2937"/>
          <w:sz w:val="22"/>
        </w:rPr>
        <w:t>Total: 25 + 15 + 40 + 20 = 100 project points = 25% of the BUS311 course grade.</w:t>
      </w:r>
    </w:p>
    <w:p>
      <w:pPr>
        <w:pStyle w:val="Heading1"/>
      </w:pPr>
      <w:r>
        <w:rPr>
          <w:rFonts w:ascii="Calibri" w:hAnsi="Calibri"/>
          <w:b/>
          <w:i w:val="0"/>
          <w:color w:val="2E74B5"/>
          <w:sz w:val="32"/>
        </w:rPr>
        <w:t>Late-work and revision rules</w:t>
      </w:r>
    </w:p>
    <w:p>
      <w:r>
        <w:rPr>
          <w:rFonts w:ascii="Calibri" w:hAnsi="Calibri"/>
          <w:b w:val="0"/>
          <w:i w:val="0"/>
          <w:color w:val="1F2937"/>
          <w:sz w:val="22"/>
        </w:rPr>
      </w:r>
    </w:p>
    <w:p>
      <w:pPr>
        <w:pStyle w:val="Heading2"/>
      </w:pPr>
      <w:r>
        <w:rPr>
          <w:rFonts w:ascii="Calibri" w:hAnsi="Calibri"/>
          <w:b/>
          <w:i w:val="0"/>
          <w:color w:val="2E74B5"/>
          <w:sz w:val="26"/>
        </w:rPr>
        <w:t>Late-work rule</w:t>
      </w:r>
    </w:p>
    <w:p>
      <w:pPr>
        <w:shd w:fill="FFF4CC"/>
        <w:pBdr>
          <w:left w:val="single" w:sz="18" w:space="8" w:color="9A6A00"/>
        </w:pBdr>
        <w:spacing w:before="120" w:after="200"/>
        <w:ind w:left="216" w:right="115"/>
      </w:pPr>
      <w:r>
        <w:rPr>
          <w:rFonts w:ascii="Calibri" w:hAnsi="Calibri"/>
          <w:b/>
          <w:i w:val="0"/>
          <w:color w:val="1F2937"/>
          <w:sz w:val="22"/>
        </w:rPr>
        <w:t>Milestones remain eligible for submission under the BUS311 syllabus late-work policy. A late milestone delays instructor feedback and approval, and the student may not advance to a dependent project stage until the required work is complete. Documented exceptions follow the applicable college and course process. The final PPTX and one-page executive summary have a fixed shared deadline of Monday, Nov. 30, 2026 at 12:30 p.m. ET; later presenters may not replace those files after observing earlier briefings. An instructor-authorized accessibility or file-repair correction may not change the underlying analysis or recommendation.</w:t>
      </w:r>
    </w:p>
    <w:p>
      <w:pPr>
        <w:pStyle w:val="Heading2"/>
      </w:pPr>
      <w:r>
        <w:rPr>
          <w:rFonts w:ascii="Calibri" w:hAnsi="Calibri"/>
          <w:b/>
          <w:i w:val="0"/>
          <w:color w:val="2E74B5"/>
          <w:sz w:val="26"/>
        </w:rPr>
        <w:t>Revision rule</w:t>
      </w:r>
    </w:p>
    <w:p>
      <w:pPr>
        <w:shd w:fill="FFF4CC"/>
        <w:pBdr>
          <w:left w:val="single" w:sz="18" w:space="8" w:color="9A6A00"/>
        </w:pBdr>
        <w:spacing w:before="120" w:after="200"/>
        <w:ind w:left="216" w:right="115"/>
      </w:pPr>
      <w:r>
        <w:rPr>
          <w:rFonts w:ascii="Calibri" w:hAnsi="Calibri"/>
          <w:b/>
          <w:i w:val="0"/>
          <w:color w:val="1F2937"/>
          <w:sz w:val="22"/>
        </w:rPr>
        <w:t>Milestones 1-3 may each be revised once within seven calendar days of written instructor feedback. The revision must include a concise change log identifying the feedback addressed, evidence added or corrected, and resulting analytical change. Revised criteria are rescored under the published rubric, and the revised score replaces the original score when higher. Final communication files may not be replaced after the shared Nov. 30 deadline except for an instructor-authorized accessibility or file-repair correction that does not alter the analysis or recommendation.</w:t>
      </w:r>
    </w:p>
    <w:p>
      <w:pPr>
        <w:pStyle w:val="Heading1"/>
      </w:pPr>
      <w:r>
        <w:rPr>
          <w:rFonts w:ascii="Calibri" w:hAnsi="Calibri"/>
          <w:b/>
          <w:i w:val="0"/>
          <w:color w:val="2E74B5"/>
          <w:sz w:val="32"/>
        </w:rPr>
        <w:t>Final readiness check</w:t>
      </w:r>
    </w:p>
    <w:p>
      <w:r>
        <w:rPr>
          <w:rFonts w:ascii="Calibri" w:hAnsi="Calibri"/>
          <w:b w:val="0"/>
          <w:i w:val="0"/>
          <w:color w:val="1F2937"/>
          <w:sz w:val="22"/>
        </w:rPr>
        <w:t>Before the final deadline, verify all of the following:</w:t>
      </w:r>
    </w:p>
    <w:p>
      <w:pPr>
        <w:numPr>
          <w:ilvl w:val="0"/>
          <w:numId w:val="18"/>
        </w:numPr>
      </w:pPr>
      <w:r>
        <w:rPr>
          <w:rFonts w:ascii="Calibri" w:hAnsi="Calibri"/>
          <w:b w:val="0"/>
          <w:i w:val="0"/>
          <w:color w:val="1F2937"/>
          <w:sz w:val="22"/>
        </w:rPr>
        <w:t>The company and CFO decision were approved.</w:t>
      </w:r>
    </w:p>
    <w:p>
      <w:pPr>
        <w:numPr>
          <w:ilvl w:val="0"/>
          <w:numId w:val="18"/>
        </w:numPr>
      </w:pPr>
      <w:r>
        <w:rPr>
          <w:rFonts w:ascii="Calibri" w:hAnsi="Calibri"/>
          <w:b w:val="0"/>
          <w:i w:val="0"/>
          <w:color w:val="1F2937"/>
          <w:sz w:val="22"/>
        </w:rPr>
        <w:t>The decision is addressed to the CFO and Board, not framed as Buy/Hold/Sell.</w:t>
      </w:r>
    </w:p>
    <w:p>
      <w:pPr>
        <w:numPr>
          <w:ilvl w:val="0"/>
          <w:numId w:val="18"/>
        </w:numPr>
      </w:pPr>
      <w:r>
        <w:rPr>
          <w:rFonts w:ascii="Calibri" w:hAnsi="Calibri"/>
          <w:b w:val="0"/>
          <w:i w:val="0"/>
          <w:color w:val="1F2937"/>
          <w:sz w:val="22"/>
        </w:rPr>
        <w:t>Revenue analysis includes 3-5 years, company-specific drivers, a testable hypothesis, and scenario linkage.</w:t>
      </w:r>
    </w:p>
    <w:p>
      <w:pPr>
        <w:numPr>
          <w:ilvl w:val="0"/>
          <w:numId w:val="18"/>
        </w:numPr>
      </w:pPr>
      <w:r>
        <w:rPr>
          <w:rFonts w:ascii="Calibri" w:hAnsi="Calibri"/>
          <w:b w:val="0"/>
          <w:i w:val="0"/>
          <w:color w:val="1F2937"/>
          <w:sz w:val="22"/>
        </w:rPr>
        <w:t>Every material figure and claim is traceable to SEC, FactSet, Excel, or another credible named source.</w:t>
      </w:r>
    </w:p>
    <w:p>
      <w:pPr>
        <w:numPr>
          <w:ilvl w:val="0"/>
          <w:numId w:val="18"/>
        </w:numPr>
      </w:pPr>
      <w:r>
        <w:rPr>
          <w:rFonts w:ascii="Calibri" w:hAnsi="Calibri"/>
          <w:b w:val="0"/>
          <w:i w:val="0"/>
          <w:color w:val="1F2937"/>
          <w:sz w:val="22"/>
        </w:rPr>
        <w:t>The Excel model passed the required checks and contains no unresolved formula errors.</w:t>
      </w:r>
    </w:p>
    <w:p>
      <w:pPr>
        <w:numPr>
          <w:ilvl w:val="0"/>
          <w:numId w:val="18"/>
        </w:numPr>
      </w:pPr>
      <w:r>
        <w:rPr>
          <w:rFonts w:ascii="Calibri" w:hAnsi="Calibri"/>
          <w:b w:val="0"/>
          <w:i w:val="0"/>
          <w:color w:val="1F2937"/>
          <w:sz w:val="22"/>
        </w:rPr>
        <w:t>Exactly four bounded AI checkpoints are documented, independently verified, and disclosed.</w:t>
      </w:r>
    </w:p>
    <w:p>
      <w:pPr>
        <w:numPr>
          <w:ilvl w:val="0"/>
          <w:numId w:val="18"/>
        </w:numPr>
      </w:pPr>
      <w:r>
        <w:rPr>
          <w:rFonts w:ascii="Calibri" w:hAnsi="Calibri"/>
          <w:b w:val="0"/>
          <w:i w:val="0"/>
          <w:color w:val="1F2937"/>
          <w:sz w:val="22"/>
        </w:rPr>
        <w:t>The recommendation includes two or three supporting actions, alternatives, implementation responsibilities, timing, indicators, triggers, risks, and mitigations.</w:t>
      </w:r>
    </w:p>
    <w:p>
      <w:pPr>
        <w:numPr>
          <w:ilvl w:val="0"/>
          <w:numId w:val="18"/>
        </w:numPr>
      </w:pPr>
      <w:r>
        <w:rPr>
          <w:rFonts w:ascii="Calibri" w:hAnsi="Calibri"/>
          <w:b w:val="0"/>
          <w:i w:val="0"/>
          <w:color w:val="1F2937"/>
          <w:sz w:val="22"/>
        </w:rPr>
        <w:t>The final submission contains exactly two communication files: one PPTX and one one-page executive summary PDF.</w:t>
      </w:r>
    </w:p>
    <w:p>
      <w:pPr>
        <w:numPr>
          <w:ilvl w:val="0"/>
          <w:numId w:val="18"/>
        </w:numPr>
      </w:pPr>
      <w:r>
        <w:rPr>
          <w:rFonts w:ascii="Calibri" w:hAnsi="Calibri"/>
          <w:b w:val="0"/>
          <w:i w:val="0"/>
          <w:color w:val="1F2937"/>
          <w:sz w:val="22"/>
        </w:rPr>
        <w:t>The core deck contains 8-10 slides; any appendix is analytical support only.</w:t>
      </w:r>
    </w:p>
    <w:p>
      <w:pPr>
        <w:numPr>
          <w:ilvl w:val="0"/>
          <w:numId w:val="18"/>
        </w:numPr>
      </w:pPr>
      <w:r>
        <w:rPr>
          <w:rFonts w:ascii="Calibri" w:hAnsi="Calibri"/>
          <w:b w:val="0"/>
          <w:i w:val="0"/>
          <w:color w:val="1F2937"/>
          <w:sz w:val="22"/>
        </w:rPr>
        <w:t>Both files passed the accessibility and saved-file checks.</w:t>
      </w:r>
    </w:p>
    <w:p>
      <w:pPr>
        <w:numPr>
          <w:ilvl w:val="0"/>
          <w:numId w:val="18"/>
        </w:numPr>
      </w:pPr>
      <w:r>
        <w:rPr>
          <w:rFonts w:ascii="Calibri" w:hAnsi="Calibri"/>
          <w:b w:val="0"/>
          <w:i w:val="0"/>
          <w:color w:val="1F2937"/>
          <w:sz w:val="22"/>
        </w:rPr>
        <w:t>The presentation is rehearsed to seven minutes, and you can defend the work during three minutes of individual Q&amp;A.</w:t>
      </w:r>
    </w:p>
    <w:sectPr w:rsidR="00FC693F" w:rsidRPr="0006063C" w:rsidSect="00034616">
      <w:headerReference w:type="default" r:id="rId17"/>
      <w:headerReference w:type="even" r:id="rId18"/>
      <w:footerReference w:type="default" r:id="rId19"/>
      <w:footerReference w:type="even" r:id="rId2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b w:val="0"/>
        <w:i w:val="0"/>
        <w:color w:val="5B6573"/>
        <w:sz w:val="18"/>
      </w:rPr>
      <w:t xml:space="preserve">Approved student release  |  Page </w:t>
    </w:r>
    <w:r>
      <w:fldChar w:fldCharType="begin"/>
    </w:r>
    <w:r>
      <w:instrText xml:space="preserve"> PAGE </w:instrText>
    </w:r>
    <w:r>
      <w:fldChar w:fldCharType="separate"/>
    </w:r>
    <w:r>
      <w:rPr>
        <w:rFonts w:ascii="Calibri" w:hAnsi="Calibri"/>
        <w:b w:val="0"/>
        <w:i w:val="0"/>
        <w:color w:val="5B6573"/>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4" w:space="6" w:color="B8C2CC"/>
      </w:pBdr>
    </w:pPr>
    <w:r>
      <w:rPr>
        <w:rFonts w:ascii="Calibri" w:hAnsi="Calibri"/>
        <w:b/>
        <w:i w:val="0"/>
        <w:color w:val="5B6573"/>
        <w:sz w:val="18"/>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720"/>
        </w:tabs>
        <w:ind w:left="720" w:hanging="360"/>
        <w:spacing w:after="160" w:line="280" w:lineRule="auto"/>
      </w:pPr>
      <w:rPr>
        <w:rFonts w:ascii="Calibri" w:hAnsi="Calibri"/>
      </w:rPr>
    </w:lvl>
  </w:abstractNum>
  <w:num w:numId="10">
    <w:abstractNumId w:val="9"/>
  </w:num>
  <w:abstractNum w:abstractNumId="10">
    <w:multiLevelType w:val="singleLevel"/>
    <w:lvl w:ilvl="0">
      <w:start w:val="1"/>
      <w:numFmt w:val="decimal"/>
      <w:lvlText w:val="%1."/>
      <w:suff w:val="tab"/>
      <w:pPr>
        <w:tabs>
          <w:tab w:val="num" w:pos="720"/>
        </w:tabs>
        <w:ind w:left="720" w:hanging="360"/>
        <w:spacing w:after="160" w:line="280" w:lineRule="auto"/>
      </w:pPr>
      <w:rPr>
        <w:rFonts w:ascii="Calibri" w:hAnsi="Calibri"/>
      </w:r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b w:val="0"/>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20" w:after="200" w:line="276" w:lineRule="auto"/>
      <w:ind w:left="403" w:right="259"/>
    </w:pPr>
    <w:rPr>
      <w:rFonts w:ascii="Calibri" w:hAnsi="Calibri"/>
      <w:b w:val="0"/>
      <w:i/>
      <w:iCs/>
      <w:color w:val="17365D"/>
      <w:sz w:val="23"/>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 CFO and Board Decision Brief</dc:title>
  <dc:subject>Fall 2026 student assignment brief</dc:subject>
  <dc:creator>BUS311 Corporate Finance</dc:creator>
  <cp:keywords>BUS311, corporate finance, capstone, CFO, Board, Fall 2026</cp:keywords>
  <dc:description>Generated from BUS311-individual-company-capstone-assignment-brief.md; SHA-256 c5aab0e5f3c24069db6023a0fcc7ddb50fb198bd76f5776c0a61a17d15890be5</dc:description>
  <cp:lastModifiedBy/>
  <cp:revision>1</cp:revision>
  <dcterms:created xsi:type="dcterms:W3CDTF">2013-12-23T23:15:00Z</dcterms:created>
  <dcterms:modified xsi:type="dcterms:W3CDTF">2013-12-23T23:15:00Z</dcterms:modified>
  <cp:category/>
</cp:coreProperties>
</file>