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55F" w:rsidRDefault="0061162A">
      <w:bookmarkStart w:id="0" w:name="_Hlk486883744"/>
      <w:bookmarkEnd w:id="0"/>
      <w:r>
        <w:rPr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-649292</wp:posOffset>
            </wp:positionV>
            <wp:extent cx="7266305" cy="20383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beçalho ESD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3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F1" w:rsidRDefault="000070F1" w:rsidP="0061162A">
      <w:pPr>
        <w:spacing w:after="0"/>
        <w:jc w:val="center"/>
        <w:rPr>
          <w:b/>
          <w:color w:val="595959" w:themeColor="text1" w:themeTint="A6"/>
          <w:sz w:val="24"/>
        </w:rPr>
      </w:pPr>
    </w:p>
    <w:p w:rsidR="0061162A" w:rsidRDefault="008C0BE2" w:rsidP="0061162A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Escola Superior de Tecnologia</w:t>
      </w:r>
    </w:p>
    <w:p w:rsidR="0061162A" w:rsidRDefault="0061162A" w:rsidP="0061162A">
      <w:pPr>
        <w:jc w:val="center"/>
        <w:rPr>
          <w:b/>
          <w:sz w:val="36"/>
          <w:szCs w:val="28"/>
        </w:rPr>
      </w:pPr>
    </w:p>
    <w:p w:rsidR="00277901" w:rsidRDefault="0061162A" w:rsidP="0061162A">
      <w:pPr>
        <w:jc w:val="center"/>
        <w:rPr>
          <w:rFonts w:ascii="Lucida Sans Unicode" w:hAnsi="Lucida Sans Unicode" w:cs="Lucida Sans Unicode"/>
          <w:b/>
          <w:sz w:val="28"/>
          <w:szCs w:val="28"/>
        </w:rPr>
      </w:pPr>
      <w:r w:rsidRPr="0061162A">
        <w:rPr>
          <w:rFonts w:ascii="Lucida Sans Unicode" w:hAnsi="Lucida Sans Unicode" w:cs="Lucida Sans Unicode"/>
          <w:b/>
          <w:sz w:val="28"/>
          <w:szCs w:val="28"/>
        </w:rPr>
        <w:t>MESTRADO EM ENGENHARIA ELETRÓNICA E DE COMPUTADORES</w:t>
      </w:r>
    </w:p>
    <w:p w:rsidR="0061162A" w:rsidRDefault="008C0BE2" w:rsidP="0061162A">
      <w:pPr>
        <w:jc w:val="center"/>
        <w:rPr>
          <w:rFonts w:ascii="Lucida Sans Unicode" w:hAnsi="Lucida Sans Unicode" w:cs="Lucida Sans Unicode"/>
          <w:sz w:val="24"/>
          <w:szCs w:val="28"/>
        </w:rPr>
      </w:pPr>
      <w:r>
        <w:rPr>
          <w:rFonts w:ascii="Lucida Sans Unicode" w:hAnsi="Lucida Sans Unicode" w:cs="Lucida Sans Unicode"/>
          <w:sz w:val="24"/>
          <w:szCs w:val="28"/>
        </w:rPr>
        <w:t>Laboratórios Integrados II</w:t>
      </w:r>
    </w:p>
    <w:p w:rsidR="0061162A" w:rsidRPr="0061162A" w:rsidRDefault="0061162A" w:rsidP="0061162A">
      <w:pPr>
        <w:jc w:val="center"/>
        <w:rPr>
          <w:rFonts w:ascii="Lucida Sans Unicode" w:hAnsi="Lucida Sans Unicode" w:cs="Lucida Sans Unicode"/>
          <w:sz w:val="24"/>
          <w:szCs w:val="28"/>
        </w:rPr>
      </w:pPr>
    </w:p>
    <w:p w:rsidR="0061162A" w:rsidRDefault="0061162A" w:rsidP="0061162A">
      <w:pPr>
        <w:jc w:val="center"/>
        <w:rPr>
          <w:b/>
          <w:sz w:val="28"/>
          <w:szCs w:val="28"/>
        </w:rPr>
      </w:pPr>
    </w:p>
    <w:p w:rsidR="0061162A" w:rsidRDefault="008C0BE2" w:rsidP="0061162A">
      <w:pPr>
        <w:jc w:val="center"/>
        <w:rPr>
          <w:rFonts w:ascii="Lucida Sans Unicode" w:hAnsi="Lucida Sans Unicode" w:cs="Lucida Sans Unicode"/>
          <w:b/>
          <w:sz w:val="28"/>
          <w:szCs w:val="28"/>
        </w:rPr>
      </w:pPr>
      <w:r>
        <w:rPr>
          <w:rFonts w:ascii="Lucida Sans Unicode" w:hAnsi="Lucida Sans Unicode" w:cs="Lucida Sans Unicode"/>
          <w:b/>
          <w:sz w:val="28"/>
          <w:szCs w:val="28"/>
        </w:rPr>
        <w:t>Indentificação do condutor</w:t>
      </w: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8C0BE2" w:rsidRDefault="008C0BE2" w:rsidP="00B619D5">
      <w:pPr>
        <w:jc w:val="center"/>
        <w:rPr>
          <w:sz w:val="24"/>
        </w:rPr>
      </w:pPr>
      <w:r>
        <w:rPr>
          <w:sz w:val="24"/>
        </w:rPr>
        <w:t>Brian Martins Nº xxxx</w:t>
      </w:r>
    </w:p>
    <w:p w:rsidR="008C0BE2" w:rsidRDefault="008C0BE2" w:rsidP="00B619D5">
      <w:pPr>
        <w:jc w:val="center"/>
        <w:rPr>
          <w:sz w:val="24"/>
        </w:rPr>
      </w:pPr>
      <w:r>
        <w:rPr>
          <w:sz w:val="24"/>
        </w:rPr>
        <w:t>Cristiano Carvalho Nº 9575</w:t>
      </w:r>
    </w:p>
    <w:p w:rsidR="00277901" w:rsidRDefault="0061162A" w:rsidP="00B619D5">
      <w:pPr>
        <w:jc w:val="center"/>
        <w:rPr>
          <w:sz w:val="24"/>
        </w:rPr>
      </w:pPr>
      <w:r w:rsidRPr="0061162A">
        <w:rPr>
          <w:sz w:val="24"/>
        </w:rPr>
        <w:t>Nuno Gomes Nº</w:t>
      </w:r>
      <w:r w:rsidR="008C0BE2">
        <w:rPr>
          <w:sz w:val="24"/>
        </w:rPr>
        <w:t xml:space="preserve"> </w:t>
      </w:r>
      <w:r w:rsidRPr="0061162A">
        <w:rPr>
          <w:sz w:val="24"/>
        </w:rPr>
        <w:t>9689</w:t>
      </w:r>
    </w:p>
    <w:p w:rsidR="0019656F" w:rsidRDefault="0019656F" w:rsidP="00B619D5">
      <w:pPr>
        <w:jc w:val="center"/>
        <w:rPr>
          <w:sz w:val="24"/>
        </w:rPr>
      </w:pPr>
      <w:r>
        <w:rPr>
          <w:sz w:val="24"/>
        </w:rPr>
        <w:t>Rui Barroso Nº xxxx</w:t>
      </w:r>
    </w:p>
    <w:p w:rsidR="00B619D5" w:rsidRPr="00977A2B" w:rsidRDefault="00B619D5" w:rsidP="00B619D5">
      <w:pPr>
        <w:jc w:val="center"/>
        <w:rPr>
          <w:sz w:val="24"/>
          <w:u w:val="single"/>
        </w:rPr>
      </w:pPr>
    </w:p>
    <w:p w:rsidR="004B617C" w:rsidRPr="0061162A" w:rsidRDefault="00B619D5" w:rsidP="006F48EC">
      <w:pPr>
        <w:jc w:val="center"/>
        <w:rPr>
          <w:b/>
          <w:sz w:val="28"/>
        </w:rPr>
      </w:pPr>
      <w:r>
        <w:rPr>
          <w:b/>
          <w:sz w:val="28"/>
        </w:rPr>
        <w:t>J</w:t>
      </w:r>
      <w:r w:rsidR="0061162A" w:rsidRPr="0061162A">
        <w:rPr>
          <w:b/>
          <w:sz w:val="28"/>
        </w:rPr>
        <w:t>ulho de 201</w:t>
      </w:r>
      <w:bookmarkStart w:id="1" w:name="_GoBack"/>
      <w:bookmarkEnd w:id="1"/>
      <w:r w:rsidR="0061162A" w:rsidRPr="0061162A">
        <w:rPr>
          <w:b/>
          <w:sz w:val="28"/>
        </w:rPr>
        <w:t>7</w:t>
      </w:r>
    </w:p>
    <w:p w:rsidR="00A72F47" w:rsidRDefault="00A72F47" w:rsidP="006F3C4E">
      <w:pPr>
        <w:rPr>
          <w:b/>
          <w:color w:val="000000" w:themeColor="text1"/>
          <w:sz w:val="32"/>
        </w:rPr>
      </w:pPr>
      <w:r w:rsidRPr="00955B9B">
        <w:rPr>
          <w:b/>
          <w:color w:val="000000" w:themeColor="text1"/>
          <w:sz w:val="32"/>
        </w:rPr>
        <w:lastRenderedPageBreak/>
        <w:t>Resumo</w:t>
      </w:r>
    </w:p>
    <w:p w:rsidR="008C0BE2" w:rsidRDefault="00515E79" w:rsidP="00AD28A9">
      <w:pPr>
        <w:pStyle w:val="Default"/>
        <w:rPr>
          <w:rFonts w:asciiTheme="minorHAnsi" w:hAnsiTheme="minorHAnsi"/>
        </w:rPr>
      </w:pPr>
      <w:r w:rsidRPr="00AD28A9">
        <w:rPr>
          <w:rFonts w:asciiTheme="minorHAnsi" w:hAnsiTheme="minorHAnsi"/>
          <w:b/>
        </w:rPr>
        <w:t>Palavras – chave:</w:t>
      </w:r>
      <w:r w:rsidR="00AD28A9" w:rsidRPr="00AD28A9">
        <w:rPr>
          <w:rFonts w:asciiTheme="minorHAnsi" w:hAnsiTheme="minorHAnsi"/>
          <w:b/>
        </w:rPr>
        <w:t xml:space="preserve"> </w:t>
      </w:r>
      <w:r w:rsidR="00AD28A9" w:rsidRPr="00AD28A9">
        <w:rPr>
          <w:rFonts w:asciiTheme="minorHAnsi" w:hAnsiTheme="minorHAnsi"/>
        </w:rPr>
        <w:t xml:space="preserve"> </w:t>
      </w:r>
    </w:p>
    <w:p w:rsidR="00515E79" w:rsidRPr="008C0BE2" w:rsidRDefault="008C0BE2" w:rsidP="008C0BE2">
      <w:pPr>
        <w:rPr>
          <w:rFonts w:cs="Times New Roman"/>
          <w:noProof w:val="0"/>
          <w:color w:val="000000"/>
          <w:sz w:val="24"/>
          <w:szCs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125972649"/>
        <w:docPartObj>
          <w:docPartGallery w:val="Table of Contents"/>
          <w:docPartUnique/>
        </w:docPartObj>
      </w:sdtPr>
      <w:sdtEndPr/>
      <w:sdtContent>
        <w:p w:rsidR="007B19C6" w:rsidRPr="00955B9B" w:rsidRDefault="007B19C6">
          <w:pPr>
            <w:pStyle w:val="Cabealhodondice"/>
            <w:rPr>
              <w:color w:val="000000" w:themeColor="text1"/>
              <w:sz w:val="32"/>
            </w:rPr>
          </w:pPr>
          <w:r w:rsidRPr="00955B9B">
            <w:rPr>
              <w:color w:val="000000" w:themeColor="text1"/>
              <w:sz w:val="32"/>
            </w:rPr>
            <w:t>Índice</w:t>
          </w:r>
        </w:p>
        <w:p w:rsidR="006F3C4E" w:rsidRDefault="006F3C4E">
          <w:pPr>
            <w:pStyle w:val="ndice1"/>
            <w:tabs>
              <w:tab w:val="right" w:leader="dot" w:pos="8494"/>
            </w:tabs>
            <w:rPr>
              <w:noProof w:val="0"/>
            </w:rPr>
          </w:pPr>
        </w:p>
        <w:p w:rsidR="007E2986" w:rsidRDefault="003F4148">
          <w:pPr>
            <w:pStyle w:val="ndice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r>
            <w:rPr>
              <w:noProof w:val="0"/>
            </w:rPr>
            <w:fldChar w:fldCharType="begin"/>
          </w:r>
          <w:r w:rsidR="007B19C6">
            <w:rPr>
              <w:noProof w:val="0"/>
            </w:rP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88581767" w:history="1">
            <w:r w:rsidR="007E2986" w:rsidRPr="0021255D">
              <w:rPr>
                <w:rStyle w:val="Hiperligao"/>
              </w:rPr>
              <w:t>Índice de Figuras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_Toc488581767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3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68" w:history="1">
            <w:r w:rsidR="007E2986" w:rsidRPr="0021255D">
              <w:rPr>
                <w:rStyle w:val="Hiperligao"/>
              </w:rPr>
              <w:t>Lista de acrónimos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_Toc488581768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5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69" w:history="1">
            <w:r w:rsidR="007E2986" w:rsidRPr="0021255D">
              <w:rPr>
                <w:rStyle w:val="Hiperligao"/>
              </w:rPr>
              <w:t>1.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Introdução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_Toc488581769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6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70" w:history="1">
            <w:r w:rsidR="007E2986" w:rsidRPr="0021255D">
              <w:rPr>
                <w:rStyle w:val="Hiperligao"/>
              </w:rPr>
              <w:t>2.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Requisitos do Sistema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_Toc488581770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7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71" w:history="1">
            <w:r w:rsidR="007E2986" w:rsidRPr="0021255D">
              <w:rPr>
                <w:rStyle w:val="Hiperligao"/>
              </w:rPr>
              <w:t>3.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Desenvolvimento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_Toc488581771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8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72" w:history="1">
            <w:r w:rsidR="007E2986" w:rsidRPr="0021255D">
              <w:rPr>
                <w:rStyle w:val="Hiperligao"/>
              </w:rPr>
              <w:t>4.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Implementação e Testes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_Toc488581772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9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73" w:history="1">
            <w:r w:rsidR="007E2986" w:rsidRPr="0021255D">
              <w:rPr>
                <w:rStyle w:val="Hiperligao"/>
              </w:rPr>
              <w:t>5.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Conclusões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_Toc488581773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10</w:t>
            </w:r>
            <w:r w:rsidR="007E2986">
              <w:rPr>
                <w:webHidden/>
              </w:rPr>
              <w:fldChar w:fldCharType="end"/>
            </w:r>
          </w:hyperlink>
        </w:p>
        <w:p w:rsidR="007E2986" w:rsidRDefault="008E7D5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88581774" w:history="1">
            <w:r w:rsidR="007E2986" w:rsidRPr="0021255D">
              <w:rPr>
                <w:rStyle w:val="Hiperligao"/>
              </w:rPr>
              <w:t>6.</w:t>
            </w:r>
            <w:r w:rsidR="007E2986">
              <w:rPr>
                <w:rFonts w:eastAsiaTheme="minorEastAsia"/>
                <w:lang w:eastAsia="pt-PT"/>
              </w:rPr>
              <w:tab/>
            </w:r>
            <w:r w:rsidR="007E2986" w:rsidRPr="0021255D">
              <w:rPr>
                <w:rStyle w:val="Hiperligao"/>
              </w:rPr>
              <w:t>Bibliografia</w:t>
            </w:r>
            <w:r w:rsidR="007E2986">
              <w:rPr>
                <w:webHidden/>
              </w:rPr>
              <w:tab/>
            </w:r>
            <w:r w:rsidR="007E2986">
              <w:rPr>
                <w:webHidden/>
              </w:rPr>
              <w:fldChar w:fldCharType="begin"/>
            </w:r>
            <w:r w:rsidR="007E2986">
              <w:rPr>
                <w:webHidden/>
              </w:rPr>
              <w:instrText xml:space="preserve"> PAGEREF _Toc488581774 \h </w:instrText>
            </w:r>
            <w:r w:rsidR="007E2986">
              <w:rPr>
                <w:webHidden/>
              </w:rPr>
            </w:r>
            <w:r w:rsidR="007E2986">
              <w:rPr>
                <w:webHidden/>
              </w:rPr>
              <w:fldChar w:fldCharType="separate"/>
            </w:r>
            <w:r w:rsidR="007E2986">
              <w:rPr>
                <w:webHidden/>
              </w:rPr>
              <w:t>11</w:t>
            </w:r>
            <w:r w:rsidR="007E2986">
              <w:rPr>
                <w:webHidden/>
              </w:rPr>
              <w:fldChar w:fldCharType="end"/>
            </w:r>
          </w:hyperlink>
        </w:p>
        <w:p w:rsidR="007B19C6" w:rsidRDefault="003F4148">
          <w:pPr>
            <w:rPr>
              <w:noProof w:val="0"/>
            </w:rPr>
          </w:pPr>
          <w:r>
            <w:rPr>
              <w:noProof w:val="0"/>
            </w:rPr>
            <w:fldChar w:fldCharType="end"/>
          </w:r>
        </w:p>
      </w:sdtContent>
    </w:sdt>
    <w:p w:rsidR="005205AA" w:rsidRDefault="005205AA" w:rsidP="005205AA">
      <w:pPr>
        <w:rPr>
          <w:noProof w:val="0"/>
        </w:rPr>
      </w:pPr>
    </w:p>
    <w:p w:rsidR="005205AA" w:rsidRDefault="005205AA" w:rsidP="005205AA">
      <w:pPr>
        <w:rPr>
          <w:noProof w:val="0"/>
        </w:rPr>
      </w:pPr>
    </w:p>
    <w:p w:rsidR="007E2986" w:rsidRDefault="007E2986">
      <w:pPr>
        <w:rPr>
          <w:noProof w:val="0"/>
        </w:rPr>
      </w:pPr>
      <w:r>
        <w:rPr>
          <w:noProof w:val="0"/>
        </w:rPr>
        <w:br w:type="page"/>
      </w:r>
    </w:p>
    <w:p w:rsidR="002B1186" w:rsidRDefault="005205AA" w:rsidP="002B1186">
      <w:pPr>
        <w:pStyle w:val="Ttulo1"/>
        <w:rPr>
          <w:noProof w:val="0"/>
          <w:color w:val="000000" w:themeColor="text1"/>
          <w:sz w:val="32"/>
        </w:rPr>
      </w:pPr>
      <w:bookmarkStart w:id="2" w:name="_Toc488581767"/>
      <w:r w:rsidRPr="00955B9B">
        <w:rPr>
          <w:noProof w:val="0"/>
          <w:color w:val="000000" w:themeColor="text1"/>
          <w:sz w:val="32"/>
        </w:rPr>
        <w:lastRenderedPageBreak/>
        <w:t>Índice de Figuras</w:t>
      </w:r>
      <w:bookmarkEnd w:id="2"/>
    </w:p>
    <w:p w:rsidR="00735434" w:rsidRPr="00735434" w:rsidRDefault="00735434" w:rsidP="00735434"/>
    <w:p w:rsidR="002B1186" w:rsidRDefault="002B1186" w:rsidP="00DB42B5">
      <w:pPr>
        <w:spacing w:line="360" w:lineRule="auto"/>
        <w:rPr>
          <w:noProof w:val="0"/>
        </w:rPr>
      </w:pPr>
      <w:r w:rsidRPr="00DB42B5">
        <w:rPr>
          <w:noProof w:val="0"/>
          <w:sz w:val="24"/>
          <w:szCs w:val="24"/>
        </w:rPr>
        <w:fldChar w:fldCharType="begin"/>
      </w:r>
      <w:r w:rsidRPr="00DB42B5">
        <w:rPr>
          <w:noProof w:val="0"/>
          <w:sz w:val="24"/>
          <w:szCs w:val="24"/>
        </w:rPr>
        <w:instrText xml:space="preserve"> TOC \h \z \c "Figura" </w:instrText>
      </w:r>
      <w:r w:rsidRPr="00DB42B5">
        <w:rPr>
          <w:noProof w:val="0"/>
          <w:sz w:val="24"/>
          <w:szCs w:val="24"/>
        </w:rPr>
        <w:fldChar w:fldCharType="separate"/>
      </w:r>
      <w:r w:rsidR="007E2986">
        <w:rPr>
          <w:b/>
          <w:bCs/>
          <w:sz w:val="24"/>
          <w:szCs w:val="24"/>
        </w:rPr>
        <w:t>Não foi encontrada nenhuma entrada do índice de ilustrações.</w:t>
      </w:r>
      <w:r w:rsidRPr="00DB42B5">
        <w:rPr>
          <w:noProof w:val="0"/>
          <w:sz w:val="24"/>
          <w:szCs w:val="24"/>
        </w:rPr>
        <w:fldChar w:fldCharType="end"/>
      </w:r>
    </w:p>
    <w:p w:rsidR="002B1186" w:rsidRDefault="002B1186">
      <w:pPr>
        <w:rPr>
          <w:noProof w:val="0"/>
        </w:rPr>
      </w:pPr>
      <w:r>
        <w:rPr>
          <w:noProof w:val="0"/>
        </w:rPr>
        <w:br w:type="page"/>
      </w:r>
    </w:p>
    <w:p w:rsidR="0024155F" w:rsidRDefault="00A72F47" w:rsidP="00A72F47">
      <w:pPr>
        <w:pStyle w:val="Ttulo1"/>
        <w:rPr>
          <w:noProof w:val="0"/>
          <w:color w:val="000000" w:themeColor="text1"/>
        </w:rPr>
      </w:pPr>
      <w:bookmarkStart w:id="3" w:name="_Toc488581768"/>
      <w:r w:rsidRPr="00E0570E">
        <w:rPr>
          <w:noProof w:val="0"/>
          <w:color w:val="000000" w:themeColor="text1"/>
        </w:rPr>
        <w:lastRenderedPageBreak/>
        <w:t>Lista de acrónimos</w:t>
      </w:r>
      <w:bookmarkEnd w:id="3"/>
    </w:p>
    <w:p w:rsidR="002D7BF6" w:rsidRDefault="002D7BF6" w:rsidP="002D7BF6"/>
    <w:p w:rsidR="002D7BF6" w:rsidRPr="002D7BF6" w:rsidRDefault="002D7BF6" w:rsidP="002D7BF6">
      <w:r w:rsidRPr="009F609A">
        <w:rPr>
          <w:b/>
        </w:rPr>
        <w:t>SPI</w:t>
      </w:r>
      <w:r w:rsidR="009F609A">
        <w:t xml:space="preserve"> -</w:t>
      </w:r>
      <w:r>
        <w:t xml:space="preserve">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Serial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Peripheral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Interface</w:t>
      </w:r>
    </w:p>
    <w:p w:rsidR="00E0570E" w:rsidRPr="009F609A" w:rsidRDefault="009F609A" w:rsidP="007B19C6">
      <w:pPr>
        <w:rPr>
          <w:noProof w:val="0"/>
        </w:rPr>
      </w:pPr>
      <w:r w:rsidRPr="009F609A">
        <w:rPr>
          <w:b/>
          <w:noProof w:val="0"/>
        </w:rPr>
        <w:t>CAN</w:t>
      </w:r>
      <w:r>
        <w:rPr>
          <w:b/>
          <w:noProof w:val="0"/>
        </w:rPr>
        <w:t xml:space="preserve"> – </w:t>
      </w:r>
      <w:proofErr w:type="spellStart"/>
      <w:r>
        <w:rPr>
          <w:noProof w:val="0"/>
        </w:rPr>
        <w:t>Controller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Area</w:t>
      </w:r>
      <w:proofErr w:type="spellEnd"/>
      <w:r>
        <w:rPr>
          <w:noProof w:val="0"/>
        </w:rPr>
        <w:t xml:space="preserve"> Network</w:t>
      </w:r>
    </w:p>
    <w:p w:rsidR="00E0570E" w:rsidRPr="007B19C6" w:rsidRDefault="007E2986" w:rsidP="007B19C6">
      <w:pPr>
        <w:rPr>
          <w:noProof w:val="0"/>
        </w:rPr>
      </w:pPr>
      <w:r>
        <w:rPr>
          <w:b/>
          <w:sz w:val="24"/>
          <w:szCs w:val="20"/>
        </w:rPr>
        <w:br w:type="page"/>
      </w:r>
    </w:p>
    <w:p w:rsidR="00AE4050" w:rsidRPr="006B26B4" w:rsidRDefault="0024155F" w:rsidP="00AE4050">
      <w:pPr>
        <w:pStyle w:val="Ttulo1"/>
        <w:numPr>
          <w:ilvl w:val="0"/>
          <w:numId w:val="1"/>
        </w:numPr>
        <w:spacing w:line="360" w:lineRule="auto"/>
        <w:rPr>
          <w:noProof w:val="0"/>
          <w:color w:val="000000" w:themeColor="text1"/>
          <w:sz w:val="32"/>
        </w:rPr>
      </w:pPr>
      <w:bookmarkStart w:id="4" w:name="_Toc488581769"/>
      <w:r w:rsidRPr="008C0BE2">
        <w:rPr>
          <w:noProof w:val="0"/>
          <w:color w:val="000000" w:themeColor="text1"/>
          <w:sz w:val="32"/>
        </w:rPr>
        <w:lastRenderedPageBreak/>
        <w:t>Introdução</w:t>
      </w:r>
      <w:bookmarkEnd w:id="4"/>
    </w:p>
    <w:p w:rsidR="00977A2B" w:rsidRDefault="0019656F" w:rsidP="00977A2B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19656F">
        <w:rPr>
          <w:noProof w:val="0"/>
          <w:color w:val="000000" w:themeColor="text1"/>
          <w:sz w:val="24"/>
        </w:rPr>
        <w:t>O presente trabalho prático</w:t>
      </w:r>
      <w:r>
        <w:rPr>
          <w:noProof w:val="0"/>
          <w:color w:val="000000" w:themeColor="text1"/>
          <w:sz w:val="24"/>
        </w:rPr>
        <w:t xml:space="preserve"> foi realizado no âmbito da unidade curricular de </w:t>
      </w:r>
      <w:r w:rsidR="00977A2B">
        <w:rPr>
          <w:noProof w:val="0"/>
          <w:color w:val="000000" w:themeColor="text1"/>
          <w:sz w:val="24"/>
        </w:rPr>
        <w:t>Laboratórios Integrados II, lecionada durante o 2º semestre do 1º ano do Mestrado em Engenharia Eletrónica e de Computadores.</w:t>
      </w:r>
    </w:p>
    <w:p w:rsidR="00977A2B" w:rsidRPr="00977A2B" w:rsidRDefault="00977A2B" w:rsidP="00977A2B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977A2B">
        <w:rPr>
          <w:sz w:val="24"/>
        </w:rPr>
        <w:t xml:space="preserve">A indústria automóvel procura constantemente novas formas de adaptar o funcionamento dos seus produtos às conveniências e conforto do cliente. O objectivo final deste projecto é o desenvolvimento e implementação de um sistema que permita que um automóvel reconheça a identidade do seu condutor, o que permitirá o ajuste automático de parâmetros do interior do automóvel (posição do banco, volume do rádio, etc.) às preferências do condutor que estiver a conduzi-lo em cada </w:t>
      </w:r>
      <w:r w:rsidR="00F15F03" w:rsidRPr="00F15F03">
        <w:rPr>
          <w:sz w:val="24"/>
        </w:rPr>
        <w:t>momento</w:t>
      </w:r>
      <w:r w:rsidRPr="00977A2B">
        <w:rPr>
          <w:sz w:val="24"/>
        </w:rPr>
        <w:t>.</w:t>
      </w:r>
    </w:p>
    <w:p w:rsidR="00977A2B" w:rsidRPr="00977A2B" w:rsidRDefault="00977A2B" w:rsidP="00977A2B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noProof w:val="0"/>
          <w:color w:val="000000"/>
          <w:sz w:val="24"/>
          <w:szCs w:val="23"/>
        </w:rPr>
      </w:pP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A verificação e identificação do condutor será efetuada através de visão por computador, ao desenvolver esta aplicação terá de ser capaz de comparar a fase presente na imagem com faces de referência existentes na base de dados dos condutores possíveis. </w:t>
      </w:r>
    </w:p>
    <w:p w:rsidR="00AE4050" w:rsidRDefault="00977A2B" w:rsidP="00977A2B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4"/>
          <w:szCs w:val="23"/>
        </w:rPr>
      </w:pP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Após a aplicação que correr em PC implementar as funções de processamento e análise de imagem este comunica com um dispositivo externo, baseados em sistemas embebidos, através de USB e por sua vês este sistema embebido comunicará com os restantes dispositivos de expansão através de barramento CAN, sendo este a comunicação </w:t>
      </w:r>
      <w:r w:rsidRPr="00977A2B">
        <w:rPr>
          <w:rFonts w:ascii="Calibri" w:hAnsi="Calibri" w:cs="Calibri"/>
          <w:i/>
          <w:iCs/>
          <w:noProof w:val="0"/>
          <w:color w:val="000000"/>
          <w:sz w:val="24"/>
          <w:szCs w:val="23"/>
        </w:rPr>
        <w:t xml:space="preserve">standard </w:t>
      </w: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na indústria automóvel, como mostra a figura 1. </w:t>
      </w:r>
    </w:p>
    <w:p w:rsidR="00E05D63" w:rsidRDefault="00F15F0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  <w:r w:rsidRPr="00F15F03">
        <w:rPr>
          <w:color w:val="000000" w:themeColor="text1"/>
          <w:sz w:val="24"/>
        </w:rPr>
        <w:drawing>
          <wp:inline distT="0" distB="0" distL="0" distR="0">
            <wp:extent cx="4657060" cy="17535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32" cy="175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D63" w:rsidRDefault="00E05D6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</w:p>
    <w:p w:rsidR="00E05D63" w:rsidRDefault="00E05D6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</w:p>
    <w:p w:rsidR="00BC47E8" w:rsidRPr="00BC47E8" w:rsidRDefault="00BC47E8" w:rsidP="00BC47E8">
      <w:pPr>
        <w:spacing w:line="360" w:lineRule="auto"/>
        <w:jc w:val="both"/>
        <w:rPr>
          <w:sz w:val="24"/>
          <w:szCs w:val="23"/>
        </w:rPr>
      </w:pPr>
      <w:r>
        <w:rPr>
          <w:sz w:val="24"/>
          <w:szCs w:val="23"/>
        </w:rPr>
        <w:lastRenderedPageBreak/>
        <w:t>Resumidamente,</w:t>
      </w:r>
      <w:r w:rsidR="00E05D63" w:rsidRPr="00BC47E8">
        <w:rPr>
          <w:sz w:val="24"/>
          <w:szCs w:val="23"/>
        </w:rPr>
        <w:t xml:space="preserve"> o barramento CAN foi desenvolvido por Robert Bosh em 1986 para simplificar os sistemas de </w:t>
      </w:r>
      <w:r>
        <w:rPr>
          <w:sz w:val="24"/>
          <w:szCs w:val="23"/>
        </w:rPr>
        <w:t>cablagem</w:t>
      </w:r>
      <w:r w:rsidR="00E05D63" w:rsidRPr="00BC47E8">
        <w:rPr>
          <w:sz w:val="24"/>
          <w:szCs w:val="23"/>
        </w:rPr>
        <w:t xml:space="preserve"> na indústria automóvel. </w:t>
      </w:r>
      <w:r>
        <w:rPr>
          <w:sz w:val="23"/>
          <w:szCs w:val="23"/>
        </w:rPr>
        <w:t>A frame standard (figura 2) que utilizamos é bastante simples e permite ter muitos módulos conectados ao mesmo barramento através da variação dos 11 bits do Identifier. O RTR indica se a frame é recessivo caso RTR=1 ou dominante caso RTR=0. Por fim, temos o tamanho da mensagem em bytes e a própria mensagem que queremos enviar. Com base nestas frames conseguimos fazer a comunicação na rede CAN para ler dados ou escrever dados enviando mensagens através do módulo Master.</w:t>
      </w:r>
    </w:p>
    <w:p w:rsidR="00BC47E8" w:rsidRDefault="00BC47E8" w:rsidP="00BC47E8">
      <w:pPr>
        <w:spacing w:line="360" w:lineRule="auto"/>
        <w:jc w:val="center"/>
        <w:rPr>
          <w:sz w:val="23"/>
          <w:szCs w:val="23"/>
        </w:rPr>
      </w:pPr>
      <w:r>
        <w:drawing>
          <wp:inline distT="0" distB="0" distL="0" distR="0">
            <wp:extent cx="4795284" cy="2072673"/>
            <wp:effectExtent l="0" t="0" r="0" b="0"/>
            <wp:docPr id="7" name="Imagem 7" descr="https://www.engineersgarage.com/sites/default/files/imagecache/Original/wysiwyg_imageupload/4214/Standard%20Fram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ngineersgarage.com/sites/default/files/imagecache/Original/wysiwyg_imageupload/4214/Standard%20Frame_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17" cy="207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A3" w:rsidRPr="00AE4050" w:rsidRDefault="008C0BE2" w:rsidP="00BC47E8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977A2B">
        <w:rPr>
          <w:noProof w:val="0"/>
          <w:color w:val="000000" w:themeColor="text1"/>
          <w:sz w:val="24"/>
        </w:rPr>
        <w:br w:type="page"/>
      </w:r>
    </w:p>
    <w:p w:rsidR="00515E79" w:rsidRDefault="0027068D" w:rsidP="006B26B4">
      <w:pPr>
        <w:pStyle w:val="Ttulo1"/>
        <w:numPr>
          <w:ilvl w:val="0"/>
          <w:numId w:val="1"/>
        </w:numPr>
        <w:spacing w:line="360" w:lineRule="auto"/>
        <w:rPr>
          <w:noProof w:val="0"/>
          <w:color w:val="000000" w:themeColor="text1"/>
          <w:sz w:val="32"/>
        </w:rPr>
      </w:pPr>
      <w:bookmarkStart w:id="5" w:name="_Toc488581770"/>
      <w:r>
        <w:rPr>
          <w:noProof w:val="0"/>
          <w:color w:val="000000" w:themeColor="text1"/>
          <w:sz w:val="32"/>
        </w:rPr>
        <w:lastRenderedPageBreak/>
        <w:t>Requisitos dos módulos do s</w:t>
      </w:r>
      <w:r w:rsidR="008C0BE2" w:rsidRPr="008C0BE2">
        <w:rPr>
          <w:noProof w:val="0"/>
          <w:color w:val="000000" w:themeColor="text1"/>
          <w:sz w:val="32"/>
        </w:rPr>
        <w:t>istema</w:t>
      </w:r>
      <w:bookmarkEnd w:id="5"/>
    </w:p>
    <w:p w:rsidR="006B26B4" w:rsidRPr="006B26B4" w:rsidRDefault="006B26B4" w:rsidP="006B26B4">
      <w:pPr>
        <w:jc w:val="both"/>
      </w:pPr>
      <w:r>
        <w:rPr>
          <w:sz w:val="24"/>
        </w:rPr>
        <w:t>Como vimos anteriormente, este projecto encontra-se dividio em</w:t>
      </w:r>
      <w:r w:rsidRPr="006B26B4">
        <w:rPr>
          <w:sz w:val="24"/>
        </w:rPr>
        <w:t xml:space="preserve"> dois blocos principais.</w:t>
      </w:r>
    </w:p>
    <w:p w:rsidR="0027068D" w:rsidRPr="0027068D" w:rsidRDefault="006B26B4" w:rsidP="0027068D">
      <w:pPr>
        <w:pStyle w:val="PargrafodaLista"/>
        <w:numPr>
          <w:ilvl w:val="1"/>
          <w:numId w:val="1"/>
        </w:numPr>
        <w:rPr>
          <w:b/>
          <w:sz w:val="28"/>
        </w:rPr>
      </w:pPr>
      <w:r w:rsidRPr="006B26B4">
        <w:rPr>
          <w:b/>
          <w:sz w:val="28"/>
        </w:rPr>
        <w:t>Software</w:t>
      </w:r>
    </w:p>
    <w:p w:rsidR="0027068D" w:rsidRDefault="0027068D" w:rsidP="0027068D">
      <w:pPr>
        <w:spacing w:line="360" w:lineRule="auto"/>
        <w:jc w:val="both"/>
        <w:rPr>
          <w:sz w:val="24"/>
        </w:rPr>
      </w:pPr>
      <w:r w:rsidRPr="006B26B4">
        <w:rPr>
          <w:sz w:val="24"/>
        </w:rPr>
        <w:t xml:space="preserve">O primeiro bloco, baseado em software, é responsável pelo interface com o utilizador, gestão dos dados e configuração do sistema, processamento e análise de imagem e comunicação dos dados através de USB. </w:t>
      </w:r>
      <w:r>
        <w:rPr>
          <w:sz w:val="24"/>
        </w:rPr>
        <w:t xml:space="preserve"> </w:t>
      </w:r>
    </w:p>
    <w:p w:rsidR="0027068D" w:rsidRPr="0027068D" w:rsidRDefault="0027068D" w:rsidP="0027068D">
      <w:pPr>
        <w:spacing w:line="360" w:lineRule="auto"/>
        <w:jc w:val="both"/>
        <w:rPr>
          <w:sz w:val="24"/>
        </w:rPr>
      </w:pPr>
      <w:r w:rsidRPr="0027068D">
        <w:rPr>
          <w:sz w:val="24"/>
        </w:rPr>
        <w:t xml:space="preserve">Para cumprir estes requisitos de comunicação foi necessário definir um protocolo de comunicação, entre o PC e o módulo Master, que permita enviar do PC para o Master o resultado da identificação de faces, com identificação de quais os módulos de expansão I/O que devem ser ativados/desativados. Deverá ser ainda possível realizar um pedido de identificação de todos os módulos de expansão I/O ligados à rede CAN e ainda permitir a criação/alteração de registo de faces guardadas na base de dados. </w:t>
      </w:r>
    </w:p>
    <w:p w:rsidR="0027068D" w:rsidRPr="0027068D" w:rsidRDefault="0027068D" w:rsidP="0027068D">
      <w:pPr>
        <w:spacing w:line="360" w:lineRule="auto"/>
        <w:jc w:val="both"/>
        <w:rPr>
          <w:sz w:val="28"/>
        </w:rPr>
      </w:pPr>
      <w:r w:rsidRPr="0027068D">
        <w:rPr>
          <w:sz w:val="24"/>
        </w:rPr>
        <w:t>Relativamente à interface com o utilizador desenvolveu-se uma aplicação que permitisse uma fácil e intuitiva interação com o sistema. Como requisitos esta terá de respeitar os seguintes: indicar o estado da ligação ao Módulo Master; listar todos os módulos ligados à rede CAN; a imagem da câmara deverá aparecer em tempo real no ecrã do PC; a detecção e identificação de faces deverá ser assinalada na imagem; as saídas dos módulos a activar deverão ser configuráveis; a identificação de faces deverá ser assinada numa ou mais saídas digitais de um ou mais módulos de expansão I/O; a(s) saída(s) dos módulos a activar deverão ser configuráveis; permitir a criação, edição e remoção de registos de faces na base de dados; para cada face deverá ser possível configurar quais as saídas de quais módulos de expansão I/O deverão ser activados/desactivados; e por fim permitir a recepção de pedidos de criação de novo registo de face na base de dados provenientes do módulo master, com a face identificada no momento.</w:t>
      </w: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6B26B4">
      <w:pPr>
        <w:pStyle w:val="PargrafodaLista"/>
        <w:numPr>
          <w:ilvl w:val="1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Hardware</w:t>
      </w:r>
    </w:p>
    <w:p w:rsidR="006F58C9" w:rsidRDefault="0073728F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O segundo bloco, hardware, consiste no desenvolvimento de um bloco baseado em sistemas embebidos que incluirá o desenvolvimento de dois tipos de m</w:t>
      </w:r>
      <w:r w:rsidR="006F58C9" w:rsidRPr="006F58C9">
        <w:rPr>
          <w:sz w:val="24"/>
          <w:szCs w:val="24"/>
        </w:rPr>
        <w:t>ódulos</w:t>
      </w:r>
      <w:r w:rsidRPr="006F58C9">
        <w:rPr>
          <w:sz w:val="24"/>
          <w:szCs w:val="24"/>
        </w:rPr>
        <w:t xml:space="preserve">. </w:t>
      </w: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Um Módulo Master</w:t>
      </w:r>
      <w:r>
        <w:rPr>
          <w:sz w:val="24"/>
          <w:szCs w:val="24"/>
        </w:rPr>
        <w:t xml:space="preserve"> (</w:t>
      </w:r>
      <w:r w:rsidR="00BC47E8">
        <w:rPr>
          <w:sz w:val="24"/>
          <w:szCs w:val="24"/>
        </w:rPr>
        <w:t>figura 3</w:t>
      </w:r>
      <w:r>
        <w:rPr>
          <w:sz w:val="24"/>
          <w:szCs w:val="24"/>
        </w:rPr>
        <w:t>)</w:t>
      </w:r>
      <w:r w:rsidRPr="006F58C9">
        <w:rPr>
          <w:sz w:val="24"/>
          <w:szCs w:val="24"/>
        </w:rPr>
        <w:t xml:space="preserve">, que estará ligado ao PC por USB, responsável pela gestão e transmissão dos dados resultantes da aplicação de processamento e análise de imagem, através de uma rede de comunicação industrial baseada no protocolo CAN BUS. </w:t>
      </w:r>
    </w:p>
    <w:p w:rsidR="006F58C9" w:rsidRDefault="006F58C9" w:rsidP="006F58C9">
      <w:pPr>
        <w:spacing w:line="360" w:lineRule="auto"/>
        <w:ind w:left="360"/>
        <w:jc w:val="center"/>
        <w:rPr>
          <w:sz w:val="24"/>
          <w:szCs w:val="24"/>
        </w:rPr>
      </w:pPr>
      <w:r>
        <w:drawing>
          <wp:inline distT="0" distB="0" distL="0" distR="0" wp14:anchorId="3E561488" wp14:editId="5742A944">
            <wp:extent cx="5159344" cy="11600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24" t="43624" r="9752" b="40743"/>
                    <a:stretch/>
                  </pic:blipFill>
                  <pic:spPr bwMode="auto">
                    <a:xfrm>
                      <a:off x="0" y="0"/>
                      <a:ext cx="5209024" cy="117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C9" w:rsidRPr="006F58C9" w:rsidRDefault="006F58C9" w:rsidP="006F58C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No desenvolvimento deste módulo master teremos de considerar as seguintes necessidades: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Alimentação por fonte externa 12/24 V DC (o mais comum na indústria); 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Ligação ao PC por USB;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Transmissão de dados através do protocolo CAN – deverá para isso integrar um microcontrolador (</w:t>
      </w:r>
      <w:proofErr w:type="spellStart"/>
      <w:r w:rsidRPr="006F58C9">
        <w:rPr>
          <w:rFonts w:cstheme="minorHAnsi"/>
          <w:noProof w:val="0"/>
          <w:color w:val="000000"/>
          <w:sz w:val="24"/>
          <w:szCs w:val="24"/>
        </w:rPr>
        <w:t>Atmel</w:t>
      </w:r>
      <w:proofErr w:type="spellEnd"/>
      <w:r w:rsidRPr="006F58C9">
        <w:rPr>
          <w:rFonts w:cstheme="minorHAnsi"/>
          <w:noProof w:val="0"/>
          <w:color w:val="000000"/>
          <w:sz w:val="24"/>
          <w:szCs w:val="24"/>
        </w:rPr>
        <w:t xml:space="preserve"> 328), que comunicará com o PC através do protocolo RS232, e com um controlador Stand-</w:t>
      </w:r>
      <w:proofErr w:type="spellStart"/>
      <w:r w:rsidRPr="006F58C9">
        <w:rPr>
          <w:rFonts w:cstheme="minorHAnsi"/>
          <w:noProof w:val="0"/>
          <w:color w:val="000000"/>
          <w:sz w:val="24"/>
          <w:szCs w:val="24"/>
        </w:rPr>
        <w:t>Alone</w:t>
      </w:r>
      <w:proofErr w:type="spellEnd"/>
      <w:r w:rsidRPr="006F58C9">
        <w:rPr>
          <w:rFonts w:cstheme="minorHAnsi"/>
          <w:noProof w:val="0"/>
          <w:color w:val="000000"/>
          <w:sz w:val="24"/>
          <w:szCs w:val="24"/>
        </w:rPr>
        <w:t xml:space="preserve"> CAN (MCP2515) através da interface SPI.;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Regularização dos níveis de tensão para rede CAN através de um driver CAN (MCP2551); </w:t>
      </w:r>
    </w:p>
    <w:p w:rsidR="006F58C9" w:rsidRPr="006F58C9" w:rsidRDefault="006F58C9" w:rsidP="00560999">
      <w:pPr>
        <w:autoSpaceDE w:val="0"/>
        <w:autoSpaceDN w:val="0"/>
        <w:adjustRightInd w:val="0"/>
        <w:spacing w:after="0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Disponibilização de um conjunto de 6 entradas (por opto-acoplador) e 2 saídas (por relé de estado sólido), com indicação luminosa do estado atual. </w:t>
      </w: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27068D" w:rsidRPr="006F58C9" w:rsidRDefault="006F58C9" w:rsidP="006F58C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Um</w:t>
      </w:r>
      <w:r w:rsidRPr="006F58C9">
        <w:rPr>
          <w:sz w:val="24"/>
          <w:szCs w:val="24"/>
        </w:rPr>
        <w:t xml:space="preserve"> Módulo de expansão I/O</w:t>
      </w:r>
      <w:r w:rsidR="00BC47E8">
        <w:rPr>
          <w:sz w:val="24"/>
          <w:szCs w:val="24"/>
        </w:rPr>
        <w:t xml:space="preserve"> (figura 4)</w:t>
      </w:r>
      <w:r w:rsidRPr="006F58C9">
        <w:rPr>
          <w:sz w:val="24"/>
          <w:szCs w:val="24"/>
        </w:rPr>
        <w:t xml:space="preserve">, que </w:t>
      </w:r>
      <w:r>
        <w:rPr>
          <w:sz w:val="24"/>
          <w:szCs w:val="24"/>
        </w:rPr>
        <w:t>estará ligado ao barramento CAN e que</w:t>
      </w:r>
      <w:r w:rsidRPr="006F58C9">
        <w:rPr>
          <w:sz w:val="24"/>
          <w:szCs w:val="24"/>
        </w:rPr>
        <w:t xml:space="preserve"> traduzirá nas suas saídas os dados resultantes </w:t>
      </w:r>
      <w:r>
        <w:rPr>
          <w:sz w:val="24"/>
          <w:szCs w:val="24"/>
        </w:rPr>
        <w:t>do processamento</w:t>
      </w:r>
      <w:r w:rsidRPr="006F58C9">
        <w:rPr>
          <w:sz w:val="24"/>
          <w:szCs w:val="24"/>
        </w:rPr>
        <w:t xml:space="preserve"> de imagem, transmitidos pelo módulo master. </w:t>
      </w:r>
    </w:p>
    <w:p w:rsidR="008C0BE2" w:rsidRDefault="006F58C9" w:rsidP="006F58C9">
      <w:pPr>
        <w:jc w:val="center"/>
      </w:pPr>
      <w:r>
        <w:drawing>
          <wp:inline distT="0" distB="0" distL="0" distR="0" wp14:anchorId="73153386" wp14:editId="1F8FCA34">
            <wp:extent cx="3400425" cy="19163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44" t="42750" r="27329" b="35382"/>
                    <a:stretch/>
                  </pic:blipFill>
                  <pic:spPr bwMode="auto">
                    <a:xfrm>
                      <a:off x="0" y="0"/>
                      <a:ext cx="3413166" cy="192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C9" w:rsidRPr="006F58C9" w:rsidRDefault="006F58C9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À semelhança do módulo master, também este módulo de expansão deverá respeitar os seguintes requisitos:</w:t>
      </w:r>
    </w:p>
    <w:p w:rsidR="006F58C9" w:rsidRPr="006F58C9" w:rsidRDefault="006F58C9" w:rsidP="00560999">
      <w:pPr>
        <w:autoSpaceDE w:val="0"/>
        <w:autoSpaceDN w:val="0"/>
        <w:adjustRightInd w:val="0"/>
        <w:spacing w:after="181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Alimentação por fonte externa 12/24 V DC; </w:t>
      </w:r>
    </w:p>
    <w:p w:rsidR="006F58C9" w:rsidRPr="006F58C9" w:rsidRDefault="006F58C9" w:rsidP="00560999">
      <w:pPr>
        <w:autoSpaceDE w:val="0"/>
        <w:autoSpaceDN w:val="0"/>
        <w:adjustRightInd w:val="0"/>
        <w:spacing w:after="181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Implementação do protocolo CAN através de um bloco expansor de entradas e saídas MCP25050. A regularização dos níveis de tensão para rede CAN deverá ser estabelecida através de um driver CAN (MCP2551SN); </w:t>
      </w:r>
    </w:p>
    <w:p w:rsidR="006F58C9" w:rsidRPr="006F58C9" w:rsidRDefault="006F58C9" w:rsidP="00560999">
      <w:pPr>
        <w:autoSpaceDE w:val="0"/>
        <w:autoSpaceDN w:val="0"/>
        <w:adjustRightInd w:val="0"/>
        <w:spacing w:after="0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Disponibilização de um conjunto de 2 entradas (por opto-acoplador) e 6 saídas (por relé de estado sólido) com indicação luminosa do estado</w:t>
      </w:r>
      <w:r w:rsidR="00560999">
        <w:rPr>
          <w:rFonts w:cstheme="minorHAnsi"/>
          <w:noProof w:val="0"/>
          <w:color w:val="000000"/>
          <w:sz w:val="24"/>
          <w:szCs w:val="24"/>
        </w:rPr>
        <w:t xml:space="preserve"> atual</w:t>
      </w:r>
      <w:r w:rsidRPr="006F58C9">
        <w:rPr>
          <w:rFonts w:cstheme="minorHAnsi"/>
          <w:noProof w:val="0"/>
          <w:color w:val="000000"/>
          <w:sz w:val="24"/>
          <w:szCs w:val="24"/>
        </w:rPr>
        <w:t xml:space="preserve">. </w:t>
      </w:r>
    </w:p>
    <w:p w:rsidR="006F58C9" w:rsidRDefault="006F58C9" w:rsidP="006F58C9">
      <w:pPr>
        <w:spacing w:line="360" w:lineRule="auto"/>
        <w:jc w:val="both"/>
      </w:pPr>
    </w:p>
    <w:p w:rsidR="00560999" w:rsidRDefault="00560999" w:rsidP="006F58C9">
      <w:pPr>
        <w:spacing w:line="360" w:lineRule="auto"/>
        <w:jc w:val="both"/>
      </w:pPr>
      <w:r>
        <w:t>Tendo por base estes requisitos do sistema, quer a nível de software quer a nível de hardware, passou-se ao desenvolvimento do mesmo. Todo o trabalho realizado encontra-se relatado no capítulo seguinte.</w:t>
      </w:r>
    </w:p>
    <w:p w:rsidR="006C42BF" w:rsidRPr="006C42BF" w:rsidRDefault="006C42BF" w:rsidP="006F58C9">
      <w:pPr>
        <w:spacing w:line="360" w:lineRule="auto"/>
        <w:jc w:val="both"/>
        <w:rPr>
          <w:u w:val="single"/>
        </w:rPr>
      </w:pPr>
      <w:r>
        <w:t xml:space="preserve">Durante o desenvolvimento do projecto, todos os documentos, desenhos, esquemáticos, código fonte, etc., foram geridos através de um sistema de gestão de versões, do tipo Git. O servidor na cloud utilizado foi o </w:t>
      </w:r>
      <w:r w:rsidRPr="006C42BF">
        <w:rPr>
          <w:i/>
        </w:rPr>
        <w:t>GitHub</w:t>
      </w:r>
      <w:r>
        <w:t xml:space="preserve">. Para além disso, para um melhor planeamento das tarefas a realizar por cada membro do grupo foi utilizado o </w:t>
      </w:r>
      <w:r w:rsidRPr="006C42BF">
        <w:rPr>
          <w:i/>
        </w:rPr>
        <w:t>Trello</w:t>
      </w:r>
      <w:r>
        <w:t>, tendo sido criados duas boards de trabalho, uma para a parte de Software e outra para a parte de Hardware.</w:t>
      </w:r>
    </w:p>
    <w:p w:rsidR="00560999" w:rsidRDefault="00560999">
      <w:r>
        <w:br w:type="page"/>
      </w:r>
    </w:p>
    <w:p w:rsidR="008C0BE2" w:rsidRPr="007E2986" w:rsidRDefault="008C0BE2" w:rsidP="008C0BE2">
      <w:pPr>
        <w:pStyle w:val="Ttulo1"/>
        <w:numPr>
          <w:ilvl w:val="0"/>
          <w:numId w:val="1"/>
        </w:numPr>
        <w:rPr>
          <w:noProof w:val="0"/>
          <w:color w:val="auto"/>
          <w:sz w:val="32"/>
        </w:rPr>
      </w:pPr>
      <w:bookmarkStart w:id="6" w:name="_Toc488581771"/>
      <w:r w:rsidRPr="007E2986">
        <w:rPr>
          <w:noProof w:val="0"/>
          <w:color w:val="auto"/>
          <w:sz w:val="32"/>
        </w:rPr>
        <w:lastRenderedPageBreak/>
        <w:t>Desenvolvimento</w:t>
      </w:r>
      <w:bookmarkEnd w:id="6"/>
    </w:p>
    <w:p w:rsidR="007E2986" w:rsidRPr="007E2986" w:rsidRDefault="007E2986" w:rsidP="007E2986"/>
    <w:p w:rsidR="007E2986" w:rsidRPr="006B26B4" w:rsidRDefault="007E2986" w:rsidP="007E2986">
      <w:pPr>
        <w:pStyle w:val="PargrafodaLista"/>
        <w:numPr>
          <w:ilvl w:val="1"/>
          <w:numId w:val="1"/>
        </w:numPr>
        <w:rPr>
          <w:b/>
          <w:sz w:val="28"/>
        </w:rPr>
      </w:pPr>
      <w:r w:rsidRPr="006B26B4">
        <w:rPr>
          <w:b/>
          <w:sz w:val="28"/>
        </w:rPr>
        <w:t>Hardware</w:t>
      </w:r>
    </w:p>
    <w:p w:rsidR="007E2986" w:rsidRPr="007E2986" w:rsidRDefault="007E2986" w:rsidP="007E2986">
      <w:pPr>
        <w:pStyle w:val="PargrafodaLista"/>
        <w:ind w:left="792"/>
        <w:rPr>
          <w:b/>
          <w:sz w:val="24"/>
        </w:rPr>
      </w:pPr>
    </w:p>
    <w:p w:rsidR="007E2986" w:rsidRDefault="007E2986" w:rsidP="007E2986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 xml:space="preserve">Módulo Master CAN </w:t>
      </w:r>
    </w:p>
    <w:p w:rsidR="002D7BF6" w:rsidRPr="002D7BF6" w:rsidRDefault="002D7BF6" w:rsidP="002D7BF6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>
        <w:rPr>
          <w:rFonts w:ascii="Calibri" w:hAnsi="Calibri" w:cs="Calibri"/>
          <w:noProof w:val="0"/>
          <w:color w:val="000000"/>
          <w:sz w:val="23"/>
          <w:szCs w:val="23"/>
        </w:rPr>
        <w:t>Previamente ao desenvolvimento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da PCB do módulo Master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 em </w:t>
      </w:r>
      <w:proofErr w:type="spellStart"/>
      <w:r>
        <w:rPr>
          <w:rFonts w:ascii="Calibri" w:hAnsi="Calibri" w:cs="Calibri"/>
          <w:noProof w:val="0"/>
          <w:color w:val="000000"/>
          <w:sz w:val="23"/>
          <w:szCs w:val="23"/>
        </w:rPr>
        <w:t>Eagle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, a funcionalidade do circuito foi testada de forma a entender o funci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onamento de todos os elementos e a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realizar ensaios de validação com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o propósito de eliminar quaisquer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erro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s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após a produção da mesma. O esquemático deste módulo foi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assim montado em </w:t>
      </w:r>
      <w:proofErr w:type="spellStart"/>
      <w:r>
        <w:rPr>
          <w:rFonts w:ascii="Calibri" w:hAnsi="Calibri" w:cs="Calibri"/>
          <w:noProof w:val="0"/>
          <w:color w:val="000000"/>
          <w:sz w:val="23"/>
          <w:szCs w:val="23"/>
        </w:rPr>
        <w:t>breadboard</w:t>
      </w:r>
      <w:proofErr w:type="spellEnd"/>
      <w:r>
        <w:rPr>
          <w:rFonts w:ascii="Calibri" w:hAnsi="Calibri" w:cs="Calibri"/>
          <w:noProof w:val="0"/>
          <w:color w:val="000000"/>
          <w:sz w:val="23"/>
          <w:szCs w:val="23"/>
        </w:rPr>
        <w:t>, tendo-se utilizado um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Arduino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Uno para fazer a co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municação entre o PC e o módulo, uma vez que este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utiliza um microcontrolador ATM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328, já com todos os elementos ne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cessários à sua funcionalidade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e incorpora também um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a FTDI a qual permite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fazer a comunicação série entre o PC e o microcontrolador via USB. </w:t>
      </w:r>
    </w:p>
    <w:p w:rsidR="002D7BF6" w:rsidRDefault="002D7BF6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Embora os testes tenham sido realizados com um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Arduino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Uno,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no desenvolvimento da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PCB final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foi utilizado um ATMega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328 em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Bootloader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, com um cristal de 16MHz e dois condensadores cerâmicos de 22pF em paralelo. </w:t>
      </w:r>
    </w:p>
    <w:p w:rsidR="002734C7" w:rsidRDefault="002D7BF6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A comunicação entre o ATM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328 e o controlador stand-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alone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CAN MCP2515 é feita através de SPI através dos pinos 16-&gt;16(Chip-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Select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), 17-&gt;14(Master-Out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Slave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-In), 18-&gt;15 (Master-In 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Slave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-Out) e 19-&gt;13(</w:t>
      </w:r>
      <w:proofErr w:type="spellStart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Clock</w:t>
      </w:r>
      <w:proofErr w:type="spellEnd"/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). </w:t>
      </w:r>
      <w:r w:rsidR="002734C7">
        <w:rPr>
          <w:rFonts w:ascii="Calibri" w:hAnsi="Calibri" w:cs="Calibri"/>
          <w:noProof w:val="0"/>
          <w:color w:val="000000"/>
          <w:sz w:val="23"/>
          <w:szCs w:val="23"/>
        </w:rPr>
        <w:t>No circuito do MCP2515 foi utilizado o mesmo esquemático do oscilador utilizado para o ATMega238.</w:t>
      </w:r>
    </w:p>
    <w:p w:rsidR="002734C7" w:rsidRDefault="002734C7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>
        <w:drawing>
          <wp:inline distT="0" distB="0" distL="0" distR="0" wp14:anchorId="7C36AA29" wp14:editId="3C7B0204">
            <wp:extent cx="5383033" cy="172756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00" t="24456" r="11952" b="34928"/>
                    <a:stretch/>
                  </pic:blipFill>
                  <pic:spPr bwMode="auto">
                    <a:xfrm>
                      <a:off x="0" y="0"/>
                      <a:ext cx="5439547" cy="17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B98" w:rsidRDefault="00262291" w:rsidP="002D7BF6">
      <w:pPr>
        <w:spacing w:line="360" w:lineRule="auto"/>
        <w:jc w:val="both"/>
        <w:rPr>
          <w:sz w:val="24"/>
          <w:szCs w:val="23"/>
        </w:rPr>
      </w:pPr>
      <w:r w:rsidRP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Relativamente à programação do </w:t>
      </w:r>
      <w:r w:rsidR="001D5B98" w:rsidRP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microcontrolador ATMega328 foi utilizada a IDE do Arduíno, baseada em programação em linguagem C, para criar as propriedades da rede CAN, envio e receção de dados por SPI, controlo de entradas e saídas, envio de </w:t>
      </w:r>
      <w:r w:rsidR="001D5B98" w:rsidRPr="001D5B98">
        <w:rPr>
          <w:rFonts w:ascii="Calibri" w:hAnsi="Calibri" w:cs="Calibri"/>
          <w:noProof w:val="0"/>
          <w:color w:val="000000"/>
          <w:sz w:val="24"/>
          <w:szCs w:val="23"/>
        </w:rPr>
        <w:lastRenderedPageBreak/>
        <w:t xml:space="preserve">mensagens entre módulos, etc. </w:t>
      </w:r>
      <w:r w:rsid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Tendo isto, para </w:t>
      </w:r>
      <w:r w:rsidR="001D5B98" w:rsidRPr="001D5B98">
        <w:rPr>
          <w:sz w:val="24"/>
          <w:szCs w:val="23"/>
        </w:rPr>
        <w:t xml:space="preserve">fazer a comunicação entre o PC e a placa através da porta USB, foi necessário utilizar um FTDI FT232RL que é um módulo conversor RS232 TTL para USB. </w:t>
      </w:r>
      <w:r w:rsidR="001D5B98">
        <w:rPr>
          <w:sz w:val="24"/>
          <w:szCs w:val="23"/>
        </w:rPr>
        <w:t xml:space="preserve">Através do FTDI basta </w:t>
      </w:r>
      <w:r w:rsidR="001D5B98" w:rsidRPr="001D5B98">
        <w:rPr>
          <w:sz w:val="24"/>
          <w:szCs w:val="23"/>
        </w:rPr>
        <w:t>apenas utilizar 3 pinos</w:t>
      </w:r>
      <w:r w:rsidR="001D5B98">
        <w:rPr>
          <w:sz w:val="24"/>
          <w:szCs w:val="23"/>
        </w:rPr>
        <w:t xml:space="preserve"> do módulo ligados ao ATMega328</w:t>
      </w:r>
      <w:r w:rsidR="001D5B98" w:rsidRPr="001D5B98">
        <w:rPr>
          <w:sz w:val="24"/>
          <w:szCs w:val="23"/>
        </w:rPr>
        <w:t>,</w:t>
      </w:r>
      <w:r w:rsidR="001D5B98">
        <w:rPr>
          <w:sz w:val="24"/>
          <w:szCs w:val="23"/>
        </w:rPr>
        <w:t xml:space="preserve"> nomeadamente</w:t>
      </w:r>
      <w:r w:rsidR="001D5B98" w:rsidRPr="001D5B98">
        <w:rPr>
          <w:sz w:val="24"/>
          <w:szCs w:val="23"/>
        </w:rPr>
        <w:t xml:space="preserve"> o RXD (Receiving Asynchronous Data Input), TXD (Transmit Asynchronous Data Output) e a partilhar as massas entre o PC e a </w:t>
      </w:r>
      <w:r w:rsidR="001D5B98">
        <w:rPr>
          <w:sz w:val="24"/>
          <w:szCs w:val="23"/>
        </w:rPr>
        <w:t>placa pelo GND, sendo a sua alimentação feita via USB (</w:t>
      </w:r>
      <w:r w:rsidR="001D5B98" w:rsidRPr="001D5B98">
        <w:rPr>
          <w:sz w:val="24"/>
          <w:szCs w:val="23"/>
        </w:rPr>
        <w:t>5V</w:t>
      </w:r>
      <w:r w:rsidR="001D5B98">
        <w:rPr>
          <w:sz w:val="24"/>
          <w:szCs w:val="23"/>
        </w:rPr>
        <w:t>)</w:t>
      </w:r>
      <w:r w:rsidR="001D5B98" w:rsidRPr="001D5B98">
        <w:rPr>
          <w:sz w:val="24"/>
          <w:szCs w:val="23"/>
        </w:rPr>
        <w:t>.</w:t>
      </w:r>
      <w:r w:rsidR="001D5B98">
        <w:rPr>
          <w:sz w:val="24"/>
          <w:szCs w:val="23"/>
        </w:rPr>
        <w:t xml:space="preserve"> Assim na PCB foi implementado um socket</w:t>
      </w:r>
      <w:r w:rsidR="004D702E">
        <w:rPr>
          <w:sz w:val="24"/>
          <w:szCs w:val="23"/>
        </w:rPr>
        <w:t xml:space="preserve"> de 18 pinos</w:t>
      </w:r>
      <w:r w:rsidR="001D5B98">
        <w:rPr>
          <w:sz w:val="24"/>
          <w:szCs w:val="23"/>
        </w:rPr>
        <w:t xml:space="preserve"> para </w:t>
      </w:r>
      <w:r w:rsidR="004D702E">
        <w:rPr>
          <w:sz w:val="24"/>
          <w:szCs w:val="23"/>
        </w:rPr>
        <w:t>fixação</w:t>
      </w:r>
      <w:r w:rsidR="001D5B98">
        <w:rPr>
          <w:sz w:val="24"/>
          <w:szCs w:val="23"/>
        </w:rPr>
        <w:t xml:space="preserve"> do módulo FTDI como podesmo ver na figura seguinte:</w:t>
      </w:r>
    </w:p>
    <w:p w:rsidR="001D5B98" w:rsidRDefault="001D5B98" w:rsidP="001D5B98">
      <w:pPr>
        <w:spacing w:line="360" w:lineRule="auto"/>
        <w:jc w:val="center"/>
        <w:rPr>
          <w:rFonts w:ascii="Calibri" w:hAnsi="Calibri" w:cs="Calibri"/>
          <w:noProof w:val="0"/>
          <w:color w:val="000000"/>
          <w:sz w:val="24"/>
          <w:szCs w:val="23"/>
        </w:rPr>
      </w:pPr>
      <w:r>
        <w:drawing>
          <wp:inline distT="0" distB="0" distL="0" distR="0">
            <wp:extent cx="1944773" cy="16200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8" t="33429" r="38644" b="13304"/>
                    <a:stretch/>
                  </pic:blipFill>
                  <pic:spPr bwMode="auto">
                    <a:xfrm>
                      <a:off x="0" y="0"/>
                      <a:ext cx="1950851" cy="162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EE3BEC7" wp14:editId="621AB308">
            <wp:extent cx="1722474" cy="1722474"/>
            <wp:effectExtent l="0" t="0" r="0" b="0"/>
            <wp:docPr id="4" name="Imagem 4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110" cy="17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02E" w:rsidRDefault="004D702E" w:rsidP="004D702E">
      <w:pPr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>Relativamente à</w:t>
      </w:r>
      <w:r w:rsidR="005C3310">
        <w:rPr>
          <w:sz w:val="23"/>
          <w:szCs w:val="23"/>
        </w:rPr>
        <w:t>s saídas,</w:t>
      </w:r>
      <w:r>
        <w:rPr>
          <w:sz w:val="23"/>
          <w:szCs w:val="23"/>
        </w:rPr>
        <w:t xml:space="preserve"> tanto para o módulo Master como para o módulo de expansão, foram utilizados os relés SMD com isolamento galvânico recomendados, os CPC1002N.  Uma vez que a versão de Eagle utilizada não possuía este componente foi utilizado um semelhante com as mesmas medidas, nomeadamente AQY41SOP. Tal com</w:t>
      </w:r>
      <w:r w:rsidR="005C3310">
        <w:rPr>
          <w:sz w:val="23"/>
          <w:szCs w:val="23"/>
        </w:rPr>
        <w:t>o requirido</w:t>
      </w:r>
      <w:r>
        <w:rPr>
          <w:sz w:val="23"/>
          <w:szCs w:val="23"/>
        </w:rPr>
        <w:t xml:space="preserve"> no módulo master teremos duas saídas a relé e </w:t>
      </w:r>
      <w:r w:rsidR="005C3310">
        <w:rPr>
          <w:sz w:val="23"/>
          <w:szCs w:val="23"/>
        </w:rPr>
        <w:t xml:space="preserve">seis </w:t>
      </w:r>
      <w:r>
        <w:rPr>
          <w:sz w:val="23"/>
          <w:szCs w:val="23"/>
        </w:rPr>
        <w:t>no módulo de expans</w:t>
      </w:r>
      <w:r w:rsidR="005C3310">
        <w:rPr>
          <w:sz w:val="23"/>
          <w:szCs w:val="23"/>
        </w:rPr>
        <w:t>ão</w:t>
      </w:r>
      <w:r>
        <w:rPr>
          <w:sz w:val="23"/>
          <w:szCs w:val="23"/>
        </w:rPr>
        <w:t xml:space="preserve">. </w:t>
      </w:r>
    </w:p>
    <w:p w:rsidR="001B634C" w:rsidRDefault="001B634C" w:rsidP="001B634C">
      <w:pPr>
        <w:spacing w:line="360" w:lineRule="auto"/>
        <w:jc w:val="center"/>
        <w:rPr>
          <w:rFonts w:ascii="Calibri" w:hAnsi="Calibri" w:cs="Calibri"/>
          <w:noProof w:val="0"/>
          <w:color w:val="000000"/>
          <w:sz w:val="24"/>
          <w:szCs w:val="23"/>
        </w:rPr>
      </w:pPr>
      <w:r>
        <w:drawing>
          <wp:inline distT="0" distB="0" distL="0" distR="0" wp14:anchorId="77F7EA24" wp14:editId="000E3503">
            <wp:extent cx="3444948" cy="133110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59" t="41816" r="20586" b="37549"/>
                    <a:stretch/>
                  </pic:blipFill>
                  <pic:spPr bwMode="auto">
                    <a:xfrm>
                      <a:off x="0" y="0"/>
                      <a:ext cx="3454341" cy="133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52" w:rsidRDefault="00FF6BC5" w:rsidP="00410252">
      <w:pPr>
        <w:spacing w:line="360" w:lineRule="auto"/>
        <w:jc w:val="both"/>
        <w:rPr>
          <w:sz w:val="24"/>
          <w:szCs w:val="24"/>
        </w:rPr>
      </w:pPr>
      <w:r w:rsidRPr="00410252">
        <w:rPr>
          <w:sz w:val="24"/>
          <w:szCs w:val="24"/>
        </w:rPr>
        <w:t xml:space="preserve">As saídas dos relés são conectadas posteriormente conectadas a terminais para poderem ser utilizadas. Os relés são atracados pelo ATMega, e que quando existe uma diferença de potencial aplicada na entrada do relé,  é ativo o díodo que consequentemente faz com que o transístor conduza, podendo a saída ser utilizada. </w:t>
      </w:r>
      <w:r w:rsidRPr="00410252">
        <w:rPr>
          <w:sz w:val="24"/>
          <w:szCs w:val="24"/>
        </w:rPr>
        <w:lastRenderedPageBreak/>
        <w:t>Para ser mais perceptível o estado das saídas foram colocados LED’S em cada uma delas juntamente com uma resistência de 100 Ohm, valor este obtido a partir de cálculos efetuados para que o relé tivesse a corrente necessária para atracar.</w:t>
      </w:r>
    </w:p>
    <w:p w:rsidR="00FF6BC5" w:rsidRPr="00FF6BC5" w:rsidRDefault="00FF6BC5" w:rsidP="00410252">
      <w:pPr>
        <w:spacing w:line="360" w:lineRule="auto"/>
        <w:jc w:val="both"/>
        <w:rPr>
          <w:sz w:val="24"/>
          <w:szCs w:val="24"/>
        </w:rPr>
      </w:pP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Quanto às entradas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foi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optamos por utilizar 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o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opto acoplador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PC817.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Á semelhança das saídas, também para as entradas foram utilizados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terminais para que possam conectar entradas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de 12V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. Nesta configur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ação utilizamos uma resistência e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um díodo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em série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.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Tal como para os relés, também esta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resistência é dimensionada para limitar a corrente de entrada para o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opto acoplador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, já que o </w:t>
      </w:r>
      <w:proofErr w:type="spellStart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datasheet</w:t>
      </w:r>
      <w:proofErr w:type="spellEnd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indica que a </w:t>
      </w:r>
      <w:proofErr w:type="spellStart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Forward</w:t>
      </w:r>
      <w:proofErr w:type="spellEnd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</w:t>
      </w:r>
      <w:proofErr w:type="spellStart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Current</w:t>
      </w:r>
      <w:proofErr w:type="spellEnd"/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máxima é de 50mA. O díodo serve para evitar correntes no sentido oposto que possam danificar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a própria entrada que se ligará a esse opto acoplador.</w:t>
      </w:r>
    </w:p>
    <w:p w:rsidR="00FF6BC5" w:rsidRPr="00410252" w:rsidRDefault="00FF6BC5" w:rsidP="00410252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4"/>
          <w:szCs w:val="24"/>
        </w:rPr>
      </w:pP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O principio de funcionamento do opto acoplador é semelhante ao do relé. Assim que é aplicada uma tensão ao </w:t>
      </w:r>
      <w:r w:rsidR="00410252" w:rsidRPr="00410252">
        <w:rPr>
          <w:rFonts w:ascii="Calibri" w:hAnsi="Calibri" w:cs="Calibri"/>
          <w:noProof w:val="0"/>
          <w:color w:val="000000"/>
          <w:sz w:val="24"/>
          <w:szCs w:val="24"/>
        </w:rPr>
        <w:t>foto-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díodo do PC817, o transístor começa a conduzir porque existe uma corrente aplicada na base e desta forma iremos ter os +5V na entrada corresponde do </w:t>
      </w:r>
      <w:proofErr w:type="spellStart"/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ATMega</w:t>
      </w:r>
      <w:proofErr w:type="spellEnd"/>
      <w:r w:rsidR="00410252">
        <w:rPr>
          <w:rFonts w:ascii="Calibri" w:hAnsi="Calibri" w:cs="Calibri"/>
          <w:noProof w:val="0"/>
          <w:color w:val="000000"/>
          <w:sz w:val="24"/>
          <w:szCs w:val="24"/>
        </w:rPr>
        <w:t>.</w:t>
      </w:r>
      <w:r w:rsidR="00410252"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Também aqui foi colocado um led na saída do opto acoplador para saber em que estado estará a entrada. Por outro lado, para ev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itar que a entrada fique no estado de alta-impedância foi implementado uma resistência de pull -</w:t>
      </w:r>
      <w:r w:rsidRPr="00410252">
        <w:rPr>
          <w:sz w:val="24"/>
          <w:szCs w:val="24"/>
        </w:rPr>
        <w:t xml:space="preserve"> </w:t>
      </w:r>
      <w:r w:rsidR="00410252" w:rsidRPr="00410252">
        <w:rPr>
          <w:sz w:val="24"/>
          <w:szCs w:val="24"/>
        </w:rPr>
        <w:t>down de 4.7kOhm.</w:t>
      </w:r>
    </w:p>
    <w:p w:rsidR="001D5B98" w:rsidRDefault="00410252" w:rsidP="00410252">
      <w:pPr>
        <w:pStyle w:val="PargrafodaLista"/>
        <w:ind w:left="1224"/>
        <w:jc w:val="center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3717584" cy="19310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 t="4209"/>
                    <a:stretch/>
                  </pic:blipFill>
                  <pic:spPr bwMode="auto">
                    <a:xfrm>
                      <a:off x="0" y="0"/>
                      <a:ext cx="3744372" cy="19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52" w:rsidRDefault="00410252" w:rsidP="00410252">
      <w:pPr>
        <w:spacing w:line="360" w:lineRule="auto"/>
        <w:jc w:val="both"/>
        <w:rPr>
          <w:sz w:val="24"/>
        </w:rPr>
      </w:pPr>
      <w:r>
        <w:rPr>
          <w:sz w:val="24"/>
        </w:rPr>
        <w:t>As PCB’s a desenvolver serão alimentadas a 12V por um jack. Tendo isto e uma vez que todos os componentes do circuito são alimentados a 5V, foi necessário implementar um regulador de tensão. Foi então utilizada então a seguinte montagem:</w:t>
      </w:r>
    </w:p>
    <w:p w:rsidR="00410252" w:rsidRDefault="00410252" w:rsidP="00410252">
      <w:pPr>
        <w:jc w:val="center"/>
        <w:rPr>
          <w:sz w:val="24"/>
        </w:rPr>
      </w:pPr>
      <w:r>
        <w:rPr>
          <w:sz w:val="24"/>
        </w:rPr>
        <w:lastRenderedPageBreak/>
        <w:drawing>
          <wp:inline distT="0" distB="0" distL="0" distR="0">
            <wp:extent cx="4600575" cy="18288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67" cy="18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08" w:rsidRPr="003F3DB6" w:rsidRDefault="00410252" w:rsidP="006C4B08">
      <w:pPr>
        <w:spacing w:line="360" w:lineRule="auto"/>
        <w:jc w:val="both"/>
        <w:rPr>
          <w:sz w:val="24"/>
          <w:szCs w:val="24"/>
        </w:rPr>
      </w:pPr>
      <w:r w:rsidRPr="003F3DB6">
        <w:rPr>
          <w:sz w:val="24"/>
          <w:szCs w:val="24"/>
        </w:rPr>
        <w:t>Na montagem do esquem</w:t>
      </w:r>
      <w:r w:rsidR="006C4B08" w:rsidRPr="003F3DB6">
        <w:rPr>
          <w:sz w:val="24"/>
          <w:szCs w:val="24"/>
        </w:rPr>
        <w:t>ático anterior, além do LM7805 foi necessário utilizar um díodo para evitar correntes inversas que danifiquem o circuito e dois condensadores de acoplamento. Para termos feedback do estado da de alimentação do circuito foi igualmente colocado um led para saber o estado da mesma.</w:t>
      </w:r>
    </w:p>
    <w:p w:rsidR="006C4B08" w:rsidRPr="003F3DB6" w:rsidRDefault="006C4B08" w:rsidP="006C4B08">
      <w:pPr>
        <w:spacing w:line="360" w:lineRule="auto"/>
        <w:jc w:val="both"/>
        <w:rPr>
          <w:sz w:val="24"/>
          <w:szCs w:val="24"/>
        </w:rPr>
      </w:pPr>
      <w:r w:rsidRPr="003F3DB6">
        <w:rPr>
          <w:sz w:val="24"/>
          <w:szCs w:val="24"/>
        </w:rPr>
        <w:t>A interface para a rede CAN requer que o MCP2515 tenha um driver MCP2551. O MCP2515 liga ao driver através do TXCAN e RXCAN sendo este driver que irá enviar as mensagens para o barramento CAN através do CANH e CANL. Uma vez que irão ser desenvolvidas duas PCB’s (uma para o master e outra para o módulo slave - expansão), estas saídas de CAN irão estar ligadas a terminais para que se possa ligar aos módulos de expansão pretendidos. De salientar que por cada módulo de expansão ligado a estas saídas, estes deverão ter nas suas entradas de CAN uma resistência de 120Ohm em paralelo entre as linhas de CANH e CANL.</w:t>
      </w:r>
    </w:p>
    <w:p w:rsidR="006C4B08" w:rsidRDefault="006C4B08" w:rsidP="006C4B08"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486400" cy="177074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22" cy="17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B6" w:rsidRDefault="003F3DB6" w:rsidP="003F3DB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O esquemático do módulo Master resultou na construção de uma PCB de 10.4x8.3 cm. Esta foi desenvolvida recorrendo também ao Eagle tendo o cuidado de seguir os </w:t>
      </w:r>
      <w:r>
        <w:rPr>
          <w:sz w:val="24"/>
        </w:rPr>
        <w:lastRenderedPageBreak/>
        <w:t>principios de desenho de uma PCB de forma a evitar ruídos eletromagnéticos. Foi adicionado também um plano de massa GND.</w:t>
      </w:r>
    </w:p>
    <w:p w:rsidR="003F3DB6" w:rsidRDefault="003F3DB6" w:rsidP="003F3DB6">
      <w:pPr>
        <w:spacing w:line="360" w:lineRule="auto"/>
        <w:jc w:val="center"/>
        <w:rPr>
          <w:sz w:val="24"/>
        </w:rPr>
      </w:pPr>
      <w:r>
        <w:drawing>
          <wp:inline distT="0" distB="0" distL="0" distR="0" wp14:anchorId="3EEC6139" wp14:editId="200CA2F8">
            <wp:extent cx="4699590" cy="385182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282" t="18888" r="28739" b="13048"/>
                    <a:stretch/>
                  </pic:blipFill>
                  <pic:spPr bwMode="auto">
                    <a:xfrm>
                      <a:off x="0" y="0"/>
                      <a:ext cx="4716892" cy="386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B6" w:rsidRDefault="00034B2E" w:rsidP="00034B2E">
      <w:pPr>
        <w:spacing w:line="360" w:lineRule="auto"/>
        <w:jc w:val="both"/>
        <w:rPr>
          <w:color w:val="FF0000"/>
          <w:sz w:val="24"/>
        </w:rPr>
      </w:pPr>
      <w:r>
        <w:rPr>
          <w:color w:val="FF0000"/>
          <w:sz w:val="24"/>
        </w:rPr>
        <w:t>As figuras x e x ilustram em 3D a PCB do módulo master concebida.</w:t>
      </w:r>
    </w:p>
    <w:p w:rsidR="00034B2E" w:rsidRDefault="00034B2E" w:rsidP="003F3DB6">
      <w:pPr>
        <w:spacing w:line="360" w:lineRule="auto"/>
        <w:jc w:val="center"/>
        <w:rPr>
          <w:color w:val="FF0000"/>
          <w:sz w:val="24"/>
        </w:rPr>
      </w:pPr>
      <w:r>
        <w:drawing>
          <wp:inline distT="0" distB="0" distL="0" distR="0" wp14:anchorId="0016A2D8" wp14:editId="4C1E4308">
            <wp:extent cx="4566833" cy="23497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04" t="27992" r="19255" b="13450"/>
                    <a:stretch/>
                  </pic:blipFill>
                  <pic:spPr bwMode="auto">
                    <a:xfrm>
                      <a:off x="0" y="0"/>
                      <a:ext cx="4580424" cy="235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B2E" w:rsidRPr="003F3DB6" w:rsidRDefault="00034B2E" w:rsidP="003F3DB6">
      <w:pPr>
        <w:spacing w:line="360" w:lineRule="auto"/>
        <w:jc w:val="center"/>
        <w:rPr>
          <w:color w:val="FF0000"/>
          <w:sz w:val="24"/>
        </w:rPr>
      </w:pPr>
      <w:r>
        <w:lastRenderedPageBreak/>
        <w:drawing>
          <wp:inline distT="0" distB="0" distL="0" distR="0" wp14:anchorId="46E31221" wp14:editId="66503476">
            <wp:extent cx="3625703" cy="286707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145" t="27264" r="29507" b="12367"/>
                    <a:stretch/>
                  </pic:blipFill>
                  <pic:spPr bwMode="auto">
                    <a:xfrm>
                      <a:off x="0" y="0"/>
                      <a:ext cx="3641239" cy="287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86" w:rsidRPr="007E2986" w:rsidRDefault="007E2986" w:rsidP="007E2986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Módulo de expansão I/O CAN</w:t>
      </w:r>
    </w:p>
    <w:p w:rsidR="002031E9" w:rsidRDefault="002031E9" w:rsidP="002031E9">
      <w:pPr>
        <w:spacing w:line="360" w:lineRule="auto"/>
        <w:jc w:val="both"/>
        <w:rPr>
          <w:sz w:val="24"/>
          <w:szCs w:val="23"/>
        </w:rPr>
      </w:pPr>
      <w:r>
        <w:rPr>
          <w:sz w:val="24"/>
          <w:szCs w:val="23"/>
        </w:rPr>
        <w:t>Este mó</w:t>
      </w:r>
      <w:r w:rsidRPr="002031E9">
        <w:rPr>
          <w:sz w:val="24"/>
          <w:szCs w:val="23"/>
        </w:rPr>
        <w:t xml:space="preserve">dulo </w:t>
      </w:r>
      <w:r>
        <w:rPr>
          <w:sz w:val="24"/>
          <w:szCs w:val="23"/>
        </w:rPr>
        <w:t>é</w:t>
      </w:r>
      <w:r w:rsidRPr="002031E9">
        <w:rPr>
          <w:sz w:val="24"/>
          <w:szCs w:val="23"/>
        </w:rPr>
        <w:t xml:space="preserve"> composto essencialmente por doi</w:t>
      </w:r>
      <w:r>
        <w:rPr>
          <w:sz w:val="24"/>
          <w:szCs w:val="23"/>
        </w:rPr>
        <w:t>s componentes principais, o MCP2551 e o MCP</w:t>
      </w:r>
      <w:r w:rsidRPr="002031E9">
        <w:rPr>
          <w:sz w:val="24"/>
          <w:szCs w:val="23"/>
        </w:rPr>
        <w:t>25050</w:t>
      </w:r>
      <w:r>
        <w:rPr>
          <w:sz w:val="24"/>
          <w:szCs w:val="23"/>
        </w:rPr>
        <w:t>. O MCP25050 É</w:t>
      </w:r>
      <w:r>
        <w:rPr>
          <w:sz w:val="23"/>
          <w:szCs w:val="23"/>
        </w:rPr>
        <w:t xml:space="preserve"> um expansor de entradas e saídas para trabalhar com redes CAN, este possui 8 I/O digitais, 4 conversores A/D e 2 saídas PWM. Desta forma permite que um nó da rede CAN seja implementado sem a necessidade de recorrer a mais um microcontrolador.</w:t>
      </w:r>
    </w:p>
    <w:p w:rsidR="008C0BE2" w:rsidRDefault="002031E9" w:rsidP="002031E9">
      <w:pPr>
        <w:spacing w:line="360" w:lineRule="auto"/>
        <w:jc w:val="both"/>
        <w:rPr>
          <w:sz w:val="23"/>
          <w:szCs w:val="23"/>
        </w:rPr>
      </w:pPr>
      <w:r w:rsidRPr="002031E9">
        <w:rPr>
          <w:sz w:val="24"/>
          <w:szCs w:val="23"/>
        </w:rPr>
        <w:t xml:space="preserve">Na figura </w:t>
      </w:r>
      <w:r>
        <w:rPr>
          <w:sz w:val="24"/>
          <w:szCs w:val="23"/>
        </w:rPr>
        <w:t>x</w:t>
      </w:r>
      <w:r w:rsidRPr="002031E9">
        <w:rPr>
          <w:sz w:val="24"/>
          <w:szCs w:val="23"/>
        </w:rPr>
        <w:t xml:space="preserve"> podemos ver o esquemático ger</w:t>
      </w:r>
      <w:r>
        <w:rPr>
          <w:sz w:val="24"/>
          <w:szCs w:val="23"/>
        </w:rPr>
        <w:t>al do módulo de expansão. O MCP</w:t>
      </w:r>
      <w:r w:rsidRPr="002031E9">
        <w:rPr>
          <w:sz w:val="24"/>
          <w:szCs w:val="23"/>
        </w:rPr>
        <w:t>2551</w:t>
      </w:r>
      <w:r>
        <w:rPr>
          <w:sz w:val="24"/>
          <w:szCs w:val="23"/>
        </w:rPr>
        <w:t>, tal como já referido,</w:t>
      </w:r>
      <w:r w:rsidRPr="002031E9">
        <w:rPr>
          <w:sz w:val="24"/>
          <w:szCs w:val="23"/>
        </w:rPr>
        <w:t xml:space="preserve"> terá a função regularização dos níveis de tensão para a rede CAN tanto no</w:t>
      </w:r>
      <w:r>
        <w:rPr>
          <w:sz w:val="24"/>
          <w:szCs w:val="23"/>
        </w:rPr>
        <w:t xml:space="preserve"> módulo de expansão como</w:t>
      </w:r>
      <w:r w:rsidRPr="002031E9">
        <w:rPr>
          <w:sz w:val="24"/>
          <w:szCs w:val="23"/>
        </w:rPr>
        <w:t xml:space="preserve"> no Master.</w:t>
      </w:r>
      <w:r>
        <w:rPr>
          <w:sz w:val="24"/>
          <w:szCs w:val="23"/>
        </w:rPr>
        <w:t xml:space="preserve"> De realçar que </w:t>
      </w:r>
      <w:r>
        <w:rPr>
          <w:sz w:val="23"/>
          <w:szCs w:val="23"/>
        </w:rPr>
        <w:t>no MCP25050 é utilizado igualmente o oscilador de 16MHz com os condensadores de 22pF utilizado no esquemático do master mantendo assim o sistema em sincronismo.</w:t>
      </w:r>
    </w:p>
    <w:p w:rsidR="002031E9" w:rsidRDefault="002031E9" w:rsidP="002031E9">
      <w:pPr>
        <w:spacing w:line="360" w:lineRule="auto"/>
        <w:jc w:val="center"/>
        <w:rPr>
          <w:sz w:val="24"/>
        </w:rPr>
      </w:pPr>
      <w:r>
        <w:lastRenderedPageBreak/>
        <w:drawing>
          <wp:inline distT="0" distB="0" distL="0" distR="0" wp14:anchorId="6A207B55" wp14:editId="0EC4EB2F">
            <wp:extent cx="5380075" cy="35615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97" t="11996" r="12962" b="5453"/>
                    <a:stretch/>
                  </pic:blipFill>
                  <pic:spPr bwMode="auto">
                    <a:xfrm>
                      <a:off x="0" y="0"/>
                      <a:ext cx="5407374" cy="357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1E9" w:rsidRDefault="002031E9" w:rsidP="00730B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Tendo isto, passou-se ao desenvolvimento da PCB para o módulo de expansão. O resultado foi uma placa de </w:t>
      </w:r>
      <w:r w:rsidR="00730B6C">
        <w:rPr>
          <w:sz w:val="24"/>
        </w:rPr>
        <w:t>9.2x5.8 cm, tendo-se igualmente cumprido os critérios utilizados na conceção do módulo Master.</w:t>
      </w:r>
    </w:p>
    <w:p w:rsidR="00730B6C" w:rsidRDefault="00730B6C" w:rsidP="00730B6C">
      <w:pPr>
        <w:spacing w:line="360" w:lineRule="auto"/>
        <w:jc w:val="center"/>
        <w:rPr>
          <w:sz w:val="24"/>
        </w:rPr>
      </w:pPr>
      <w:r>
        <w:drawing>
          <wp:inline distT="0" distB="0" distL="0" distR="0" wp14:anchorId="4564BF70" wp14:editId="468D9E93">
            <wp:extent cx="4688840" cy="30724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55" t="23992" r="31856" b="20732"/>
                    <a:stretch/>
                  </pic:blipFill>
                  <pic:spPr bwMode="auto">
                    <a:xfrm>
                      <a:off x="0" y="0"/>
                      <a:ext cx="4707111" cy="308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A2B" w:rsidRDefault="00620A2B" w:rsidP="00620A2B">
      <w:pPr>
        <w:spacing w:line="360" w:lineRule="auto"/>
        <w:jc w:val="both"/>
        <w:rPr>
          <w:color w:val="FF0000"/>
          <w:sz w:val="24"/>
        </w:rPr>
      </w:pPr>
      <w:r>
        <w:rPr>
          <w:color w:val="FF0000"/>
          <w:sz w:val="24"/>
        </w:rPr>
        <w:t xml:space="preserve">As figuras x e x ilustram em 3D a PCB do módulo </w:t>
      </w:r>
      <w:r w:rsidR="009F609A">
        <w:rPr>
          <w:color w:val="FF0000"/>
          <w:sz w:val="24"/>
        </w:rPr>
        <w:t>de expansão</w:t>
      </w:r>
      <w:r>
        <w:rPr>
          <w:color w:val="FF0000"/>
          <w:sz w:val="24"/>
        </w:rPr>
        <w:t xml:space="preserve"> concebida.</w:t>
      </w:r>
    </w:p>
    <w:p w:rsidR="00620A2B" w:rsidRDefault="00620A2B" w:rsidP="00620A2B">
      <w:pPr>
        <w:spacing w:line="360" w:lineRule="auto"/>
        <w:jc w:val="center"/>
        <w:rPr>
          <w:color w:val="FF0000"/>
          <w:sz w:val="24"/>
        </w:rPr>
      </w:pPr>
      <w:r>
        <w:lastRenderedPageBreak/>
        <w:drawing>
          <wp:inline distT="0" distB="0" distL="0" distR="0" wp14:anchorId="1DDEDB2A" wp14:editId="66DAA6DA">
            <wp:extent cx="4582179" cy="22647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559" t="27264" r="20842" b="26563"/>
                    <a:stretch/>
                  </pic:blipFill>
                  <pic:spPr bwMode="auto">
                    <a:xfrm>
                      <a:off x="0" y="0"/>
                      <a:ext cx="4609009" cy="227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9A" w:rsidRDefault="009F609A" w:rsidP="00620A2B">
      <w:pPr>
        <w:spacing w:line="360" w:lineRule="auto"/>
        <w:jc w:val="center"/>
        <w:rPr>
          <w:color w:val="FF0000"/>
          <w:sz w:val="24"/>
        </w:rPr>
      </w:pPr>
    </w:p>
    <w:p w:rsidR="00620A2B" w:rsidRDefault="00620A2B" w:rsidP="00620A2B">
      <w:pPr>
        <w:spacing w:line="360" w:lineRule="auto"/>
        <w:jc w:val="center"/>
        <w:rPr>
          <w:color w:val="FF0000"/>
          <w:sz w:val="24"/>
        </w:rPr>
      </w:pPr>
      <w:r>
        <w:drawing>
          <wp:inline distT="0" distB="0" distL="0" distR="0" wp14:anchorId="14824FF1" wp14:editId="365018CF">
            <wp:extent cx="3912782" cy="30767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443" t="38162" r="29472" b="12353"/>
                    <a:stretch/>
                  </pic:blipFill>
                  <pic:spPr bwMode="auto">
                    <a:xfrm>
                      <a:off x="0" y="0"/>
                      <a:ext cx="3946835" cy="310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9A" w:rsidRDefault="009F609A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8C0BE2" w:rsidRPr="007E2986" w:rsidRDefault="008C0BE2" w:rsidP="008C0BE2">
      <w:pPr>
        <w:pStyle w:val="PargrafodaLista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 w:rsidRPr="007E2986">
        <w:rPr>
          <w:rFonts w:asciiTheme="majorHAnsi" w:hAnsiTheme="majorHAnsi"/>
          <w:b/>
          <w:sz w:val="28"/>
        </w:rPr>
        <w:lastRenderedPageBreak/>
        <w:t>Sofware</w:t>
      </w:r>
    </w:p>
    <w:p w:rsidR="008C0BE2" w:rsidRPr="007E2986" w:rsidRDefault="008C0BE2" w:rsidP="008C0BE2">
      <w:pPr>
        <w:pStyle w:val="PargrafodaLista"/>
        <w:ind w:left="792"/>
        <w:rPr>
          <w:rFonts w:asciiTheme="majorHAnsi" w:hAnsiTheme="majorHAnsi"/>
          <w:b/>
          <w:sz w:val="28"/>
        </w:rPr>
      </w:pPr>
    </w:p>
    <w:p w:rsidR="008C0BE2" w:rsidRDefault="00730B6C" w:rsidP="008C0BE2">
      <w:pPr>
        <w:pStyle w:val="Pargrafoda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Programação MCP25050</w:t>
      </w:r>
    </w:p>
    <w:p w:rsidR="00730B6C" w:rsidRDefault="00730B6C" w:rsidP="00730B6C">
      <w:pPr>
        <w:pStyle w:val="PargrafodaLista"/>
        <w:ind w:left="1224"/>
        <w:rPr>
          <w:b/>
          <w:sz w:val="24"/>
        </w:rPr>
      </w:pPr>
    </w:p>
    <w:p w:rsidR="007E2986" w:rsidRDefault="00730B6C" w:rsidP="00730B6C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Módulo de comunicação Módulo Master CAN &lt;-&gt; Módulo de expansão I/O CAN</w:t>
      </w:r>
    </w:p>
    <w:p w:rsidR="00730B6C" w:rsidRPr="00730B6C" w:rsidRDefault="00730B6C" w:rsidP="00730B6C">
      <w:pPr>
        <w:pStyle w:val="PargrafodaLista"/>
        <w:ind w:left="1224"/>
        <w:rPr>
          <w:b/>
          <w:sz w:val="24"/>
        </w:rPr>
      </w:pPr>
    </w:p>
    <w:p w:rsidR="007E2986" w:rsidRPr="007E2986" w:rsidRDefault="007E2986" w:rsidP="008C0BE2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Módulo de comunicação PC &lt;-&gt; Módulo Master CAN</w:t>
      </w:r>
    </w:p>
    <w:p w:rsidR="007E2986" w:rsidRPr="007E2986" w:rsidRDefault="007E2986" w:rsidP="007E2986">
      <w:pPr>
        <w:pStyle w:val="PargrafodaLista"/>
        <w:ind w:left="1224"/>
        <w:rPr>
          <w:b/>
          <w:sz w:val="24"/>
        </w:rPr>
      </w:pPr>
    </w:p>
    <w:p w:rsidR="007E2986" w:rsidRDefault="007E2986" w:rsidP="008C0BE2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Interface gráfica</w:t>
      </w:r>
    </w:p>
    <w:p w:rsidR="007E2986" w:rsidRPr="007E2986" w:rsidRDefault="007E2986" w:rsidP="007E2986">
      <w:pPr>
        <w:rPr>
          <w:b/>
          <w:sz w:val="24"/>
        </w:rPr>
      </w:pPr>
      <w:r>
        <w:rPr>
          <w:b/>
          <w:sz w:val="24"/>
        </w:rPr>
        <w:br w:type="page"/>
      </w:r>
    </w:p>
    <w:p w:rsidR="007E2986" w:rsidRDefault="007E2986" w:rsidP="007E2986">
      <w:pPr>
        <w:pStyle w:val="Ttulo1"/>
        <w:numPr>
          <w:ilvl w:val="0"/>
          <w:numId w:val="1"/>
        </w:numPr>
        <w:rPr>
          <w:noProof w:val="0"/>
          <w:color w:val="auto"/>
          <w:sz w:val="32"/>
        </w:rPr>
      </w:pPr>
      <w:bookmarkStart w:id="7" w:name="_Toc488581772"/>
      <w:r w:rsidRPr="007E2986">
        <w:rPr>
          <w:noProof w:val="0"/>
          <w:color w:val="auto"/>
          <w:sz w:val="32"/>
        </w:rPr>
        <w:lastRenderedPageBreak/>
        <w:t>Implementação e Testes</w:t>
      </w:r>
      <w:bookmarkEnd w:id="7"/>
    </w:p>
    <w:p w:rsidR="007E2986" w:rsidRDefault="007E2986">
      <w:pPr>
        <w:rPr>
          <w:rFonts w:asciiTheme="majorHAnsi" w:eastAsiaTheme="majorEastAsia" w:hAnsiTheme="majorHAnsi" w:cstheme="majorBidi"/>
          <w:b/>
          <w:bCs/>
          <w:noProof w:val="0"/>
          <w:sz w:val="32"/>
          <w:szCs w:val="28"/>
        </w:rPr>
      </w:pPr>
      <w:r>
        <w:rPr>
          <w:noProof w:val="0"/>
          <w:sz w:val="32"/>
        </w:rPr>
        <w:br w:type="page"/>
      </w:r>
    </w:p>
    <w:p w:rsidR="007E2986" w:rsidRPr="007E2986" w:rsidRDefault="007E2986" w:rsidP="007E2986">
      <w:pPr>
        <w:pStyle w:val="Ttulo1"/>
        <w:numPr>
          <w:ilvl w:val="0"/>
          <w:numId w:val="1"/>
        </w:numPr>
        <w:rPr>
          <w:noProof w:val="0"/>
          <w:color w:val="auto"/>
          <w:sz w:val="32"/>
        </w:rPr>
      </w:pPr>
      <w:bookmarkStart w:id="8" w:name="_Toc488581773"/>
      <w:r>
        <w:rPr>
          <w:noProof w:val="0"/>
          <w:color w:val="auto"/>
          <w:sz w:val="32"/>
        </w:rPr>
        <w:lastRenderedPageBreak/>
        <w:t>Conclusões</w:t>
      </w:r>
      <w:bookmarkEnd w:id="8"/>
    </w:p>
    <w:p w:rsidR="007E2986" w:rsidRPr="007E2986" w:rsidRDefault="007E2986" w:rsidP="007E2986">
      <w:pPr>
        <w:rPr>
          <w:b/>
          <w:sz w:val="24"/>
        </w:rPr>
      </w:pPr>
    </w:p>
    <w:p w:rsidR="007E2986" w:rsidRDefault="007E2986" w:rsidP="007E2986">
      <w:pPr>
        <w:pStyle w:val="PargrafodaLista"/>
        <w:ind w:left="1224"/>
        <w:rPr>
          <w:b/>
          <w:sz w:val="24"/>
        </w:rPr>
      </w:pPr>
    </w:p>
    <w:p w:rsidR="007E2986" w:rsidRPr="007E2986" w:rsidRDefault="007E2986" w:rsidP="007E2986">
      <w:pPr>
        <w:pStyle w:val="PargrafodaLista"/>
        <w:ind w:left="1224"/>
        <w:rPr>
          <w:b/>
          <w:sz w:val="24"/>
        </w:rPr>
      </w:pPr>
    </w:p>
    <w:p w:rsidR="0027556F" w:rsidRPr="0027556F" w:rsidRDefault="0027556F" w:rsidP="0027556F"/>
    <w:p w:rsidR="00515E79" w:rsidRPr="007E2986" w:rsidRDefault="00515E79" w:rsidP="00515E79">
      <w:pPr>
        <w:rPr>
          <w:noProof w:val="0"/>
          <w:color w:val="000000" w:themeColor="text1"/>
        </w:rPr>
      </w:pPr>
      <w:r w:rsidRPr="007E2986">
        <w:rPr>
          <w:noProof w:val="0"/>
          <w:color w:val="000000" w:themeColor="text1"/>
        </w:rPr>
        <w:br w:type="page"/>
      </w:r>
    </w:p>
    <w:p w:rsidR="000050E8" w:rsidRPr="007E2986" w:rsidRDefault="00515E79" w:rsidP="000050E8">
      <w:pPr>
        <w:pStyle w:val="Ttulo1"/>
        <w:numPr>
          <w:ilvl w:val="0"/>
          <w:numId w:val="1"/>
        </w:numPr>
        <w:rPr>
          <w:noProof w:val="0"/>
          <w:color w:val="000000" w:themeColor="text1"/>
          <w:sz w:val="32"/>
        </w:rPr>
      </w:pPr>
      <w:bookmarkStart w:id="9" w:name="_Toc488581774"/>
      <w:r w:rsidRPr="007E2986">
        <w:rPr>
          <w:noProof w:val="0"/>
          <w:color w:val="000000" w:themeColor="text1"/>
          <w:sz w:val="32"/>
        </w:rPr>
        <w:lastRenderedPageBreak/>
        <w:t>Bibliografia</w:t>
      </w:r>
      <w:bookmarkEnd w:id="9"/>
    </w:p>
    <w:p w:rsidR="00B62FC0" w:rsidRPr="00B62FC0" w:rsidRDefault="00B62FC0" w:rsidP="00B62FC0"/>
    <w:p w:rsidR="00971CDA" w:rsidRPr="002B1186" w:rsidRDefault="00AD28A9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>
        <w:fldChar w:fldCharType="begin" w:fldLock="1"/>
      </w:r>
      <w:r w:rsidRPr="00F07332">
        <w:instrText xml:space="preserve">ADDIN Mendeley Bibliography CSL_BIBLIOGRAPHY </w:instrText>
      </w:r>
      <w:r>
        <w:fldChar w:fldCharType="separate"/>
      </w:r>
      <w:r w:rsidR="00971CDA" w:rsidRPr="00971CDA">
        <w:rPr>
          <w:rFonts w:ascii="Calibri" w:hAnsi="Calibri" w:cs="Calibri"/>
          <w:szCs w:val="24"/>
        </w:rPr>
        <w:t>[1]</w:t>
      </w:r>
      <w:r w:rsidR="00971CDA" w:rsidRPr="00971CDA">
        <w:rPr>
          <w:rFonts w:ascii="Calibri" w:hAnsi="Calibri" w:cs="Calibri"/>
          <w:szCs w:val="24"/>
        </w:rPr>
        <w:tab/>
        <w:t xml:space="preserve">“Aula de Anatomia | Menínges e Líquor.” </w:t>
      </w:r>
      <w:r w:rsidR="00971CDA" w:rsidRPr="002B1186">
        <w:rPr>
          <w:rFonts w:ascii="Calibri" w:hAnsi="Calibri" w:cs="Calibri"/>
          <w:szCs w:val="24"/>
          <w:lang w:val="en-GB"/>
        </w:rPr>
        <w:t>[Online]. Available: http://www.auladeanatomia.com/novosite/sistemas/sistema-nervoso/meninges-e-liquor/. [Accessed: 06-Jun-2017].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[2]</w:t>
      </w:r>
      <w:r w:rsidRPr="002B1186">
        <w:rPr>
          <w:rFonts w:ascii="Calibri" w:hAnsi="Calibri" w:cs="Calibri"/>
          <w:szCs w:val="24"/>
          <w:lang w:val="en-GB"/>
        </w:rPr>
        <w:tab/>
        <w:t>V. Brewer, J. Fletcher, and M. Hiscock, “Attention processes in children with shunted hydrocephalus versus attention deficit-hyperactivity disorder.,” 2001.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[3]</w:t>
      </w:r>
      <w:r w:rsidRPr="002B1186">
        <w:rPr>
          <w:rFonts w:ascii="Calibri" w:hAnsi="Calibri" w:cs="Calibri"/>
          <w:szCs w:val="24"/>
          <w:lang w:val="en-GB"/>
        </w:rPr>
        <w:tab/>
        <w:t xml:space="preserve">E. Foltz and D. Shurtleff, “Five-year comparative study of hydrocephalus in children with and without operation (113 cases),” </w:t>
      </w:r>
      <w:r w:rsidRPr="002B1186">
        <w:rPr>
          <w:rFonts w:ascii="Calibri" w:hAnsi="Calibri" w:cs="Calibri"/>
          <w:i/>
          <w:iCs/>
          <w:szCs w:val="24"/>
          <w:lang w:val="en-GB"/>
        </w:rPr>
        <w:t>J. Neurosurg.</w:t>
      </w:r>
      <w:r w:rsidRPr="002B1186">
        <w:rPr>
          <w:rFonts w:ascii="Calibri" w:hAnsi="Calibri" w:cs="Calibri"/>
          <w:szCs w:val="24"/>
          <w:lang w:val="en-GB"/>
        </w:rPr>
        <w:t>, 1963.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971CDA">
        <w:rPr>
          <w:rFonts w:ascii="Calibri" w:hAnsi="Calibri" w:cs="Calibri"/>
          <w:szCs w:val="24"/>
        </w:rPr>
        <w:t>[4]</w:t>
      </w:r>
      <w:r w:rsidRPr="00971CDA">
        <w:rPr>
          <w:rFonts w:ascii="Calibri" w:hAnsi="Calibri" w:cs="Calibri"/>
          <w:szCs w:val="24"/>
        </w:rPr>
        <w:tab/>
        <w:t xml:space="preserve">“Hidrocefalia - Sintomas, Tratamentos e Causas | Minha Vida.” </w:t>
      </w:r>
      <w:r w:rsidRPr="002B1186">
        <w:rPr>
          <w:rFonts w:ascii="Calibri" w:hAnsi="Calibri" w:cs="Calibri"/>
          <w:szCs w:val="24"/>
          <w:lang w:val="en-GB"/>
        </w:rPr>
        <w:t>[Online]. Available: http://www.minhavida.com.br/saude/temas/hidrocefalia. [Accessed: 06-Jun-2017].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[5]</w:t>
      </w:r>
      <w:r w:rsidRPr="002B1186">
        <w:rPr>
          <w:rFonts w:ascii="Calibri" w:hAnsi="Calibri" w:cs="Calibri"/>
          <w:szCs w:val="24"/>
          <w:lang w:val="en-GB"/>
        </w:rPr>
        <w:tab/>
        <w:t xml:space="preserve">K. W. Li, C. Nelson, I. Suk, and G. I. Jallo, “Neuroendoscopy: past, present, and future.,” </w:t>
      </w:r>
      <w:r w:rsidRPr="002B1186">
        <w:rPr>
          <w:rFonts w:ascii="Calibri" w:hAnsi="Calibri" w:cs="Calibri"/>
          <w:i/>
          <w:iCs/>
          <w:szCs w:val="24"/>
          <w:lang w:val="en-GB"/>
        </w:rPr>
        <w:t>Neurosurg Focus</w:t>
      </w:r>
      <w:r w:rsidRPr="002B1186">
        <w:rPr>
          <w:rFonts w:ascii="Calibri" w:hAnsi="Calibri" w:cs="Calibri"/>
          <w:szCs w:val="24"/>
          <w:lang w:val="en-GB"/>
        </w:rPr>
        <w:t>, vol. 19, no. 6, p. E1, 2005.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971CDA">
        <w:rPr>
          <w:rFonts w:ascii="Calibri" w:hAnsi="Calibri" w:cs="Calibri"/>
          <w:szCs w:val="24"/>
        </w:rPr>
        <w:t>[6]</w:t>
      </w:r>
      <w:r w:rsidRPr="00971CDA">
        <w:rPr>
          <w:rFonts w:ascii="Calibri" w:hAnsi="Calibri" w:cs="Calibri"/>
          <w:szCs w:val="24"/>
        </w:rPr>
        <w:tab/>
        <w:t xml:space="preserve">“Ventriculostomia Endoscópica | Dr. Alexandre Cruzeiro | Neuro-Online.” </w:t>
      </w:r>
      <w:r w:rsidRPr="002B1186">
        <w:rPr>
          <w:rFonts w:ascii="Calibri" w:hAnsi="Calibri" w:cs="Calibri"/>
          <w:szCs w:val="24"/>
          <w:lang w:val="en-GB"/>
        </w:rPr>
        <w:t>[Online]. Available: https://dralexandrecruzeiro.wordpress.com/tag/ventriculostomia-endoscopica/. [Accessed: 06-Jun-2017].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[7]</w:t>
      </w:r>
      <w:r w:rsidRPr="002B1186">
        <w:rPr>
          <w:rFonts w:ascii="Calibri" w:hAnsi="Calibri" w:cs="Calibri"/>
          <w:szCs w:val="24"/>
          <w:lang w:val="en-GB"/>
        </w:rPr>
        <w:tab/>
        <w:t xml:space="preserve">K. H. Ayashi </w:t>
      </w:r>
      <w:r w:rsidRPr="002B1186">
        <w:rPr>
          <w:rFonts w:ascii="Calibri" w:hAnsi="Calibri" w:cs="Calibri"/>
          <w:i/>
          <w:iCs/>
          <w:szCs w:val="24"/>
          <w:lang w:val="en-GB"/>
        </w:rPr>
        <w:t>et al.</w:t>
      </w:r>
      <w:r w:rsidRPr="002B1186">
        <w:rPr>
          <w:rFonts w:ascii="Calibri" w:hAnsi="Calibri" w:cs="Calibri"/>
          <w:szCs w:val="24"/>
          <w:lang w:val="en-GB"/>
        </w:rPr>
        <w:t xml:space="preserve">, “Usefulness of Ultrasonography With a Burr-hole Transducer During Surgery Through a Burr hole.,” </w:t>
      </w:r>
      <w:r w:rsidRPr="002B1186">
        <w:rPr>
          <w:rFonts w:ascii="Calibri" w:hAnsi="Calibri" w:cs="Calibri"/>
          <w:i/>
          <w:iCs/>
          <w:szCs w:val="24"/>
          <w:lang w:val="en-GB"/>
        </w:rPr>
        <w:t>Neurol Med Chir</w:t>
      </w:r>
      <w:r w:rsidRPr="002B1186">
        <w:rPr>
          <w:rFonts w:ascii="Calibri" w:hAnsi="Calibri" w:cs="Calibri"/>
          <w:szCs w:val="24"/>
          <w:lang w:val="en-GB"/>
        </w:rPr>
        <w:t>, vol. 52, no. 3, pp. 165–168, 2012.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[8]</w:t>
      </w:r>
      <w:r w:rsidRPr="002B1186">
        <w:rPr>
          <w:rFonts w:ascii="Calibri" w:hAnsi="Calibri" w:cs="Calibri"/>
          <w:szCs w:val="24"/>
          <w:lang w:val="en-GB"/>
        </w:rPr>
        <w:tab/>
        <w:t xml:space="preserve">W. Chandler, J. Knake, and J. McGillicuddy, “Intraoperative use of real-time ultrasonography in neurosurgery,” </w:t>
      </w:r>
      <w:r w:rsidRPr="002B1186">
        <w:rPr>
          <w:rFonts w:ascii="Calibri" w:hAnsi="Calibri" w:cs="Calibri"/>
          <w:i/>
          <w:iCs/>
          <w:szCs w:val="24"/>
          <w:lang w:val="en-GB"/>
        </w:rPr>
        <w:t>Neurosurg.</w:t>
      </w:r>
      <w:r w:rsidRPr="002B1186">
        <w:rPr>
          <w:rFonts w:ascii="Calibri" w:hAnsi="Calibri" w:cs="Calibri"/>
          <w:szCs w:val="24"/>
          <w:lang w:val="en-GB"/>
        </w:rPr>
        <w:t>, 1982.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[9]</w:t>
      </w:r>
      <w:r w:rsidRPr="002B1186">
        <w:rPr>
          <w:rFonts w:ascii="Calibri" w:hAnsi="Calibri" w:cs="Calibri"/>
          <w:szCs w:val="24"/>
          <w:lang w:val="en-GB"/>
        </w:rPr>
        <w:tab/>
        <w:t xml:space="preserve">K. W. Shim, E. K. Park, D.-S. Kim, and J.-U. Choi, “Neuroendoscopy: Current and Future Perspectives.,” </w:t>
      </w:r>
      <w:r w:rsidRPr="002B1186">
        <w:rPr>
          <w:rFonts w:ascii="Calibri" w:hAnsi="Calibri" w:cs="Calibri"/>
          <w:i/>
          <w:iCs/>
          <w:szCs w:val="24"/>
          <w:lang w:val="en-GB"/>
        </w:rPr>
        <w:t>J. Korean Neurosurg. Soc.</w:t>
      </w:r>
      <w:r w:rsidRPr="002B1186">
        <w:rPr>
          <w:rFonts w:ascii="Calibri" w:hAnsi="Calibri" w:cs="Calibri"/>
          <w:szCs w:val="24"/>
          <w:lang w:val="en-GB"/>
        </w:rPr>
        <w:t>, vol. 60, no. 3, pp. 322–326, May 2017.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[10]</w:t>
      </w:r>
      <w:r w:rsidRPr="002B1186">
        <w:rPr>
          <w:rFonts w:ascii="Calibri" w:hAnsi="Calibri" w:cs="Calibri"/>
          <w:szCs w:val="24"/>
          <w:lang w:val="en-GB"/>
        </w:rPr>
        <w:tab/>
        <w:t>“What is a Medical Ultrasound?” [Online]. Available: https://www.livescience.com/38426-ultrasound.html. [Accessed: 03-Jul-2017].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[11]</w:t>
      </w:r>
      <w:r w:rsidRPr="002B1186">
        <w:rPr>
          <w:rFonts w:ascii="Calibri" w:hAnsi="Calibri" w:cs="Calibri"/>
          <w:szCs w:val="24"/>
          <w:lang w:val="en-GB"/>
        </w:rPr>
        <w:tab/>
        <w:t>R. C. Impact and H. N. Imaging, “The New Gold Standard in Neurosurgical Ultrasound Premium performance neuroimaging Real Clinical Impact with High-Resolution Neuroimaging.”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[12]</w:t>
      </w:r>
      <w:r w:rsidRPr="002B1186">
        <w:rPr>
          <w:rFonts w:ascii="Calibri" w:hAnsi="Calibri" w:cs="Calibri"/>
          <w:szCs w:val="24"/>
          <w:lang w:val="en-GB"/>
        </w:rPr>
        <w:tab/>
        <w:t>Clear Guide Medical, “Clear Guide ONE.” [Online]. Available: https://www.clearguidemedical.com/clear-guide-one/. [Accessed: 06-Jun-2017].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[13]</w:t>
      </w:r>
      <w:r w:rsidRPr="002B1186">
        <w:rPr>
          <w:rFonts w:ascii="Calibri" w:hAnsi="Calibri" w:cs="Calibri"/>
          <w:szCs w:val="24"/>
          <w:lang w:val="en-GB"/>
        </w:rPr>
        <w:tab/>
        <w:t>“ProSound Alpha 7 for Surgery | Hitachi Healthcare Americas.” [Online]. Available: http://www.hitachi-aloka.com/products/prosound-alpha-7/surgery. [Accessed: 06-Jun-2017].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szCs w:val="24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[14]</w:t>
      </w:r>
      <w:r w:rsidRPr="002B1186">
        <w:rPr>
          <w:rFonts w:ascii="Calibri" w:hAnsi="Calibri" w:cs="Calibri"/>
          <w:szCs w:val="24"/>
          <w:lang w:val="en-GB"/>
        </w:rPr>
        <w:tab/>
        <w:t xml:space="preserve">H.-J. van der Woude, K. L. Verstraete, and J. L. Bloem, “Color Doppler Ultrasonography,” in </w:t>
      </w:r>
      <w:r w:rsidRPr="002B1186">
        <w:rPr>
          <w:rFonts w:ascii="Calibri" w:hAnsi="Calibri" w:cs="Calibri"/>
          <w:i/>
          <w:iCs/>
          <w:szCs w:val="24"/>
          <w:lang w:val="en-GB"/>
        </w:rPr>
        <w:t>Imaging of Soft Tissue Tumors</w:t>
      </w:r>
      <w:r w:rsidRPr="002B1186">
        <w:rPr>
          <w:rFonts w:ascii="Calibri" w:hAnsi="Calibri" w:cs="Calibri"/>
          <w:szCs w:val="24"/>
          <w:lang w:val="en-GB"/>
        </w:rPr>
        <w:t>, Berlin, Heidelberg: Springer Berlin Heidelberg, 2001, pp. 21–29.</w:t>
      </w:r>
    </w:p>
    <w:p w:rsidR="00971CDA" w:rsidRPr="002B1186" w:rsidRDefault="00971CDA" w:rsidP="00971CDA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lang w:val="en-GB"/>
        </w:rPr>
      </w:pPr>
      <w:r w:rsidRPr="002B1186">
        <w:rPr>
          <w:rFonts w:ascii="Calibri" w:hAnsi="Calibri" w:cs="Calibri"/>
          <w:szCs w:val="24"/>
          <w:lang w:val="en-GB"/>
        </w:rPr>
        <w:t>[15]</w:t>
      </w:r>
      <w:r w:rsidRPr="002B1186">
        <w:rPr>
          <w:rFonts w:ascii="Calibri" w:hAnsi="Calibri" w:cs="Calibri"/>
          <w:szCs w:val="24"/>
          <w:lang w:val="en-GB"/>
        </w:rPr>
        <w:tab/>
        <w:t xml:space="preserve">J.-E. Cheon, “Intraoperative neurosonography revisited: effective neuronavigation in pediatric neurosurgery,” </w:t>
      </w:r>
      <w:r w:rsidRPr="002B1186">
        <w:rPr>
          <w:rFonts w:ascii="Calibri" w:hAnsi="Calibri" w:cs="Calibri"/>
          <w:i/>
          <w:iCs/>
          <w:szCs w:val="24"/>
          <w:lang w:val="en-GB"/>
        </w:rPr>
        <w:t>Ultrasonography</w:t>
      </w:r>
      <w:r w:rsidRPr="002B1186">
        <w:rPr>
          <w:rFonts w:ascii="Calibri" w:hAnsi="Calibri" w:cs="Calibri"/>
          <w:szCs w:val="24"/>
          <w:lang w:val="en-GB"/>
        </w:rPr>
        <w:t>, vol. 34, no. 2, pp. 79–87, 2015.</w:t>
      </w:r>
    </w:p>
    <w:p w:rsidR="00E0570E" w:rsidRPr="00AD28A9" w:rsidRDefault="00AD28A9" w:rsidP="00DB2556">
      <w:pPr>
        <w:rPr>
          <w:noProof w:val="0"/>
          <w:lang w:val="en-GB"/>
        </w:rPr>
      </w:pPr>
      <w:r>
        <w:lastRenderedPageBreak/>
        <w:fldChar w:fldCharType="end"/>
      </w:r>
    </w:p>
    <w:sectPr w:rsidR="00E0570E" w:rsidRPr="00AD28A9" w:rsidSect="008C25FB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7D5C" w:rsidRDefault="008E7D5C" w:rsidP="0024155F">
      <w:pPr>
        <w:spacing w:after="0" w:line="240" w:lineRule="auto"/>
      </w:pPr>
      <w:r>
        <w:separator/>
      </w:r>
    </w:p>
  </w:endnote>
  <w:endnote w:type="continuationSeparator" w:id="0">
    <w:p w:rsidR="008E7D5C" w:rsidRDefault="008E7D5C" w:rsidP="00241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0462298"/>
      <w:docPartObj>
        <w:docPartGallery w:val="Page Numbers (Bottom of Page)"/>
        <w:docPartUnique/>
      </w:docPartObj>
    </w:sdtPr>
    <w:sdtEndPr/>
    <w:sdtContent>
      <w:p w:rsidR="00735434" w:rsidRDefault="008E7D5C">
        <w:pPr>
          <w:pStyle w:val="Rodap"/>
        </w:pPr>
        <w:r>
          <w:rPr>
            <w:noProof w:val="0"/>
          </w:rPr>
          <w:pict>
            <v:group id="_x0000_s2053" style="position:absolute;margin-left:0;margin-top:0;width:38.45pt;height:29.1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">
              <v:rect id="Rectangle 53" o:spid="_x0000_s2054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mZsMA&#10;AADaAAAADwAAAGRycy9kb3ducmV2LnhtbESPQWvCQBSE70L/w/IK3nSTSEWiqxShVA+lGkXw9sg+&#10;k2D2bdjdavrvuwXB4zAz3zCLVW9acSPnG8sK0nECgri0uuFKwfHwMZqB8AFZY2uZFPySh9XyZbDA&#10;XNs77+lWhEpECPscFdQhdLmUvqzJoB/bjjh6F+sMhihdJbXDe4SbVmZJMpUGG44LNXa0rqm8Fj9G&#10;wfrz7NLkG9PMnN52k9NXV7Xbs1LD1/59DiJQH57hR3ujFWTwfyXe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HmZsMAAADaAAAADwAAAAAAAAAAAAAAAACYAgAAZHJzL2Rv&#10;d25yZXYueG1sUEsFBgAAAAAEAAQA9QAAAIgDAAAAAA==&#10;" fillcolor="#943634" strokecolor="#943634"/>
              <v:rect id="Rectangle 54" o:spid="_x0000_s2055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D/cIA&#10;AADaAAAADwAAAGRycy9kb3ducmV2LnhtbESPT4vCMBTE7wt+h/AEb2taxUW6RlkEUQ/iXwRvj+Zt&#10;W7Z5KUnU+u2NIOxxmJnfMJNZa2pxI+crywrSfgKCOLe64kLB6bj4HIPwAVljbZkUPMjDbNr5mGCm&#10;7Z33dDuEQkQI+wwVlCE0mZQ+L8mg79uGOHq/1hkMUbpCaof3CDe1HCTJlzRYcVwosaF5Sfnf4WoU&#10;zJcXlyZbTAfmPNoNz5umqNcXpXrd9ucbRKA2/Iff7ZVWMITXlX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UP9wgAAANoAAAAPAAAAAAAAAAAAAAAAAJgCAABkcnMvZG93&#10;bnJldi54bWxQSwUGAAAAAAQABAD1AAAAhwMAAAAA&#10;" fillcolor="#943634" strokecolor="#94363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2056" type="#_x0000_t202" style="position:absolute;left:726;top:14496;width:659;height:690;visibility:visible;v-text-anchor:bottom" fillcolor="#9bbb59 [3206]" strokecolor="#9bbb59 [3206]" strokeweight="10pt">
                <v:stroke linestyle="thinThin"/>
                <v:shadow color="#868686"/>
                <v:textbox style="mso-next-textbox:#Text Box 55" inset="4.32pt,0,4.32pt,0">
                  <w:txbxContent>
                    <w:p w:rsidR="00735434" w:rsidRPr="004754A6" w:rsidRDefault="00735434" w:rsidP="004754A6">
                      <w:pPr>
                        <w:pStyle w:val="Rodap"/>
                        <w:jc w:val="center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</w:pPr>
                      <w:r w:rsidRPr="004754A6">
                        <w:rPr>
                          <w:sz w:val="18"/>
                        </w:rPr>
                        <w:fldChar w:fldCharType="begin"/>
                      </w:r>
                      <w:r w:rsidRPr="004754A6">
                        <w:rPr>
                          <w:sz w:val="18"/>
                        </w:rPr>
                        <w:instrText>PAGE    \* MERGEFORMAT</w:instrText>
                      </w:r>
                      <w:r w:rsidRPr="004754A6">
                        <w:rPr>
                          <w:sz w:val="18"/>
                        </w:rPr>
                        <w:fldChar w:fldCharType="separate"/>
                      </w:r>
                      <w:r w:rsidR="006F48EC" w:rsidRPr="006F48EC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  <w:t>20</w:t>
                      </w:r>
                      <w:r w:rsidRPr="004754A6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0093421"/>
      <w:docPartObj>
        <w:docPartGallery w:val="Page Numbers (Bottom of Page)"/>
        <w:docPartUnique/>
      </w:docPartObj>
    </w:sdtPr>
    <w:sdtEndPr/>
    <w:sdtContent>
      <w:p w:rsidR="00735434" w:rsidRDefault="007354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48EC">
          <w:t>1</w:t>
        </w:r>
        <w:r>
          <w:fldChar w:fldCharType="end"/>
        </w:r>
      </w:p>
    </w:sdtContent>
  </w:sdt>
  <w:p w:rsidR="00735434" w:rsidRDefault="007354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7D5C" w:rsidRDefault="008E7D5C" w:rsidP="0024155F">
      <w:pPr>
        <w:spacing w:after="0" w:line="240" w:lineRule="auto"/>
      </w:pPr>
      <w:r>
        <w:separator/>
      </w:r>
    </w:p>
  </w:footnote>
  <w:footnote w:type="continuationSeparator" w:id="0">
    <w:p w:rsidR="008E7D5C" w:rsidRDefault="008E7D5C" w:rsidP="00241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434" w:rsidRDefault="00735434">
    <w:pPr>
      <w:pStyle w:val="Cabealho"/>
    </w:pPr>
    <w:r>
      <w:drawing>
        <wp:inline distT="0" distB="0" distL="0" distR="0" wp14:anchorId="6EC7408B" wp14:editId="6D0411D9">
          <wp:extent cx="2530475" cy="786765"/>
          <wp:effectExtent l="0" t="0" r="0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0475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434" w:rsidRDefault="00735434">
    <w:pPr>
      <w:pStyle w:val="Cabealho"/>
    </w:pPr>
    <w:r>
      <w:drawing>
        <wp:inline distT="0" distB="0" distL="0" distR="0" wp14:anchorId="6EC7408B" wp14:editId="6D0411D9">
          <wp:extent cx="2530475" cy="786765"/>
          <wp:effectExtent l="0" t="0" r="0" b="0"/>
          <wp:docPr id="17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0475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C4D6B9EE"/>
    <w:lvl w:ilvl="0">
      <w:numFmt w:val="bullet"/>
      <w:lvlText w:val="*"/>
      <w:lvlJc w:val="left"/>
    </w:lvl>
  </w:abstractNum>
  <w:abstractNum w:abstractNumId="1" w15:restartNumberingAfterBreak="0">
    <w:nsid w:val="0B922355"/>
    <w:multiLevelType w:val="hybridMultilevel"/>
    <w:tmpl w:val="3118E0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85535F"/>
    <w:multiLevelType w:val="multilevel"/>
    <w:tmpl w:val="B2B669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hint="default"/>
        <w:b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63C75"/>
    <w:multiLevelType w:val="hybridMultilevel"/>
    <w:tmpl w:val="A1AA8B1C"/>
    <w:lvl w:ilvl="0" w:tplc="90102108">
      <w:start w:val="1"/>
      <w:numFmt w:val="decimal"/>
      <w:lvlText w:val="%1."/>
      <w:lvlJc w:val="left"/>
      <w:pPr>
        <w:ind w:left="1065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26C63EE6"/>
    <w:multiLevelType w:val="hybridMultilevel"/>
    <w:tmpl w:val="F4701E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245E9"/>
    <w:multiLevelType w:val="multilevel"/>
    <w:tmpl w:val="70E6953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D2FF3"/>
    <w:multiLevelType w:val="hybridMultilevel"/>
    <w:tmpl w:val="511050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24B87"/>
    <w:multiLevelType w:val="multilevel"/>
    <w:tmpl w:val="83E4584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0"/>
  </w:num>
  <w:num w:numId="5">
    <w:abstractNumId w:val="8"/>
  </w:num>
  <w:num w:numId="6">
    <w:abstractNumId w:val="6"/>
  </w:num>
  <w:num w:numId="7">
    <w:abstractNumId w:val="4"/>
  </w:num>
  <w:num w:numId="8">
    <w:abstractNumId w:val="9"/>
  </w:num>
  <w:num w:numId="9">
    <w:abstractNumId w:val="5"/>
  </w:num>
  <w:num w:numId="10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05AA"/>
    <w:rsid w:val="000050E8"/>
    <w:rsid w:val="000070F1"/>
    <w:rsid w:val="00034B2E"/>
    <w:rsid w:val="000E3C42"/>
    <w:rsid w:val="00133795"/>
    <w:rsid w:val="00170219"/>
    <w:rsid w:val="0019656F"/>
    <w:rsid w:val="001B634C"/>
    <w:rsid w:val="001D5B98"/>
    <w:rsid w:val="001F0CA1"/>
    <w:rsid w:val="002031E9"/>
    <w:rsid w:val="00213538"/>
    <w:rsid w:val="00226E92"/>
    <w:rsid w:val="0024155F"/>
    <w:rsid w:val="00262291"/>
    <w:rsid w:val="0027068D"/>
    <w:rsid w:val="002734C7"/>
    <w:rsid w:val="0027556F"/>
    <w:rsid w:val="00277901"/>
    <w:rsid w:val="00284743"/>
    <w:rsid w:val="002B1186"/>
    <w:rsid w:val="002D036D"/>
    <w:rsid w:val="002D7BF6"/>
    <w:rsid w:val="002F3B35"/>
    <w:rsid w:val="003455A3"/>
    <w:rsid w:val="003930AD"/>
    <w:rsid w:val="003E5777"/>
    <w:rsid w:val="003F3DB6"/>
    <w:rsid w:val="003F4148"/>
    <w:rsid w:val="00410252"/>
    <w:rsid w:val="004456BF"/>
    <w:rsid w:val="00450868"/>
    <w:rsid w:val="004754A6"/>
    <w:rsid w:val="00476A67"/>
    <w:rsid w:val="00490868"/>
    <w:rsid w:val="004B617C"/>
    <w:rsid w:val="004C36B9"/>
    <w:rsid w:val="004C4AF6"/>
    <w:rsid w:val="004D702E"/>
    <w:rsid w:val="004F04AD"/>
    <w:rsid w:val="004F5AB9"/>
    <w:rsid w:val="00515E79"/>
    <w:rsid w:val="0051752E"/>
    <w:rsid w:val="005205AA"/>
    <w:rsid w:val="00534693"/>
    <w:rsid w:val="00535630"/>
    <w:rsid w:val="00560999"/>
    <w:rsid w:val="005B3AD5"/>
    <w:rsid w:val="005C3310"/>
    <w:rsid w:val="005D6EF2"/>
    <w:rsid w:val="005F22FA"/>
    <w:rsid w:val="0061162A"/>
    <w:rsid w:val="00620A2B"/>
    <w:rsid w:val="0064536D"/>
    <w:rsid w:val="006B26B4"/>
    <w:rsid w:val="006B7102"/>
    <w:rsid w:val="006C42BF"/>
    <w:rsid w:val="006C4B08"/>
    <w:rsid w:val="006F3C4E"/>
    <w:rsid w:val="006F48EC"/>
    <w:rsid w:val="006F58C9"/>
    <w:rsid w:val="00730B6C"/>
    <w:rsid w:val="00735434"/>
    <w:rsid w:val="0073728F"/>
    <w:rsid w:val="007661C1"/>
    <w:rsid w:val="007B19C6"/>
    <w:rsid w:val="007E2986"/>
    <w:rsid w:val="007F7B46"/>
    <w:rsid w:val="0083622C"/>
    <w:rsid w:val="00847EA9"/>
    <w:rsid w:val="00890C70"/>
    <w:rsid w:val="008B57A5"/>
    <w:rsid w:val="008C0BE2"/>
    <w:rsid w:val="008C25FB"/>
    <w:rsid w:val="008E7D5C"/>
    <w:rsid w:val="00901383"/>
    <w:rsid w:val="009071AA"/>
    <w:rsid w:val="00955827"/>
    <w:rsid w:val="00955B9B"/>
    <w:rsid w:val="0096219C"/>
    <w:rsid w:val="00971CDA"/>
    <w:rsid w:val="00977A2B"/>
    <w:rsid w:val="009C72AB"/>
    <w:rsid w:val="009F1955"/>
    <w:rsid w:val="009F609A"/>
    <w:rsid w:val="00A027E9"/>
    <w:rsid w:val="00A72F47"/>
    <w:rsid w:val="00AA0141"/>
    <w:rsid w:val="00AA0972"/>
    <w:rsid w:val="00AD28A9"/>
    <w:rsid w:val="00AE4050"/>
    <w:rsid w:val="00B1061F"/>
    <w:rsid w:val="00B15A8C"/>
    <w:rsid w:val="00B46DED"/>
    <w:rsid w:val="00B619D5"/>
    <w:rsid w:val="00B62FC0"/>
    <w:rsid w:val="00B6369B"/>
    <w:rsid w:val="00BB176F"/>
    <w:rsid w:val="00BB3FB3"/>
    <w:rsid w:val="00BC47E8"/>
    <w:rsid w:val="00BE5AAA"/>
    <w:rsid w:val="00BE63D6"/>
    <w:rsid w:val="00C05F78"/>
    <w:rsid w:val="00C35085"/>
    <w:rsid w:val="00C459F8"/>
    <w:rsid w:val="00C567A5"/>
    <w:rsid w:val="00C72907"/>
    <w:rsid w:val="00CD4C65"/>
    <w:rsid w:val="00CD788D"/>
    <w:rsid w:val="00DB2556"/>
    <w:rsid w:val="00DB2A8B"/>
    <w:rsid w:val="00DB42B5"/>
    <w:rsid w:val="00E01A99"/>
    <w:rsid w:val="00E033C6"/>
    <w:rsid w:val="00E0570E"/>
    <w:rsid w:val="00E05D63"/>
    <w:rsid w:val="00E25336"/>
    <w:rsid w:val="00E77C5D"/>
    <w:rsid w:val="00E92C3B"/>
    <w:rsid w:val="00EC37DB"/>
    <w:rsid w:val="00EC5B31"/>
    <w:rsid w:val="00F07332"/>
    <w:rsid w:val="00F15F03"/>
    <w:rsid w:val="00F21AC5"/>
    <w:rsid w:val="00F2410B"/>
    <w:rsid w:val="00F36227"/>
    <w:rsid w:val="00F917B8"/>
    <w:rsid w:val="00FE3A8C"/>
    <w:rsid w:val="00FF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4C336AA8"/>
  <w15:docId w15:val="{ABBA6282-613C-427C-8FBA-5D3B8E0D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17C"/>
    <w:rPr>
      <w:noProof/>
    </w:rPr>
  </w:style>
  <w:style w:type="paragraph" w:styleId="Ttulo1">
    <w:name w:val="heading 1"/>
    <w:basedOn w:val="Normal"/>
    <w:next w:val="Normal"/>
    <w:link w:val="Ttulo1Carter"/>
    <w:uiPriority w:val="9"/>
    <w:qFormat/>
    <w:rsid w:val="002415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E5A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4155F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paragraph" w:styleId="Ttulo">
    <w:name w:val="Title"/>
    <w:basedOn w:val="Normal"/>
    <w:next w:val="Normal"/>
    <w:link w:val="TtuloCarter"/>
    <w:uiPriority w:val="10"/>
    <w:qFormat/>
    <w:rsid w:val="00A72F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Cabealhodondice">
    <w:name w:val="TOC Heading"/>
    <w:basedOn w:val="Ttulo1"/>
    <w:next w:val="Normal"/>
    <w:uiPriority w:val="39"/>
    <w:unhideWhenUsed/>
    <w:qFormat/>
    <w:rsid w:val="007B19C6"/>
    <w:pPr>
      <w:outlineLvl w:val="9"/>
    </w:pPr>
    <w:rPr>
      <w:noProof w:val="0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B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autoRedefine/>
    <w:uiPriority w:val="39"/>
    <w:semiHidden/>
    <w:unhideWhenUsed/>
    <w:qFormat/>
    <w:rsid w:val="007B19C6"/>
    <w:pPr>
      <w:spacing w:after="100"/>
      <w:ind w:left="220"/>
    </w:pPr>
    <w:rPr>
      <w:rFonts w:eastAsiaTheme="minorEastAsia"/>
      <w:noProof w:val="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7B19C6"/>
    <w:pPr>
      <w:spacing w:after="100"/>
      <w:ind w:left="440"/>
    </w:pPr>
    <w:rPr>
      <w:rFonts w:eastAsiaTheme="minorEastAsia"/>
      <w:noProof w:val="0"/>
    </w:rPr>
  </w:style>
  <w:style w:type="paragraph" w:styleId="PargrafodaLista">
    <w:name w:val="List Paragraph"/>
    <w:basedOn w:val="Normal"/>
    <w:uiPriority w:val="34"/>
    <w:qFormat/>
    <w:rsid w:val="006F3C4E"/>
    <w:pPr>
      <w:ind w:left="720"/>
      <w:contextualSpacing/>
    </w:pPr>
  </w:style>
  <w:style w:type="paragraph" w:customStyle="1" w:styleId="Default">
    <w:name w:val="Default"/>
    <w:rsid w:val="00F917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Legendas">
    <w:name w:val="Legendas"/>
    <w:basedOn w:val="Normal"/>
    <w:link w:val="LegendasCarter"/>
    <w:qFormat/>
    <w:rsid w:val="004754A6"/>
    <w:pPr>
      <w:spacing w:after="0" w:line="360" w:lineRule="auto"/>
      <w:jc w:val="center"/>
    </w:pPr>
    <w:rPr>
      <w:sz w:val="24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754A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LegendasCarter">
    <w:name w:val="Legendas Caráter"/>
    <w:basedOn w:val="Tipodeletrapredefinidodopargrafo"/>
    <w:link w:val="Legendas"/>
    <w:rsid w:val="004754A6"/>
    <w:rPr>
      <w:noProof/>
      <w:sz w:val="24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E5AAA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9F19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9F1955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2B118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5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939AC-77AA-49DB-933C-258A91D60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23</Pages>
  <Words>2621</Words>
  <Characters>14156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Vilaça</dc:creator>
  <cp:keywords/>
  <dc:description/>
  <cp:lastModifiedBy>Nuno Gomes</cp:lastModifiedBy>
  <cp:revision>14</cp:revision>
  <cp:lastPrinted>2017-07-06T19:38:00Z</cp:lastPrinted>
  <dcterms:created xsi:type="dcterms:W3CDTF">2017-07-23T13:03:00Z</dcterms:created>
  <dcterms:modified xsi:type="dcterms:W3CDTF">2017-07-26T14:48:00Z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4d8bc825-f699-3a0b-a232-68d3b242fa3d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