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16B" w:rsidRDefault="00A96825" w:rsidP="00F76B4D">
      <w:pPr>
        <w:pStyle w:val="Style1"/>
      </w:pPr>
      <w:bookmarkStart w:id="0" w:name="_Toc30501504"/>
      <w:r>
        <w:rPr>
          <w:noProof/>
        </w:rPr>
        <w:drawing>
          <wp:inline distT="0" distB="0" distL="0" distR="0" wp14:anchorId="4646C007" wp14:editId="23419573">
            <wp:extent cx="8448675" cy="64203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01128" cy="6460182"/>
                    </a:xfrm>
                    <a:prstGeom prst="rect">
                      <a:avLst/>
                    </a:prstGeom>
                  </pic:spPr>
                </pic:pic>
              </a:graphicData>
            </a:graphic>
          </wp:inline>
        </w:drawing>
      </w:r>
    </w:p>
    <w:p w:rsidR="00A96825" w:rsidRDefault="00A96825" w:rsidP="00A96825">
      <w:pPr>
        <w:widowControl w:val="0"/>
        <w:pBdr>
          <w:top w:val="nil"/>
          <w:left w:val="nil"/>
          <w:bottom w:val="nil"/>
          <w:right w:val="nil"/>
          <w:between w:val="nil"/>
        </w:pBdr>
        <w:spacing w:before="254"/>
        <w:ind w:left="-576" w:right="-278"/>
        <w:jc w:val="center"/>
        <w:rPr>
          <w:b/>
          <w:i/>
          <w:color w:val="4472C4" w:themeColor="accent1"/>
        </w:rPr>
      </w:pPr>
      <w:r>
        <w:rPr>
          <w:noProof/>
        </w:rPr>
        <w:lastRenderedPageBreak/>
        <w:drawing>
          <wp:inline distT="0" distB="0" distL="0" distR="0" wp14:anchorId="2258D03A" wp14:editId="443915F7">
            <wp:extent cx="8185319" cy="5181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2756" cy="5186308"/>
                    </a:xfrm>
                    <a:prstGeom prst="rect">
                      <a:avLst/>
                    </a:prstGeom>
                  </pic:spPr>
                </pic:pic>
              </a:graphicData>
            </a:graphic>
          </wp:inline>
        </w:drawing>
      </w:r>
    </w:p>
    <w:p w:rsidR="00A96825" w:rsidRPr="00A83874" w:rsidRDefault="00A96825" w:rsidP="00A96825">
      <w:pPr>
        <w:widowControl w:val="0"/>
        <w:pBdr>
          <w:top w:val="nil"/>
          <w:left w:val="nil"/>
          <w:bottom w:val="nil"/>
          <w:right w:val="nil"/>
          <w:between w:val="nil"/>
        </w:pBdr>
        <w:spacing w:before="254"/>
        <w:ind w:left="-576" w:right="-278"/>
        <w:jc w:val="center"/>
        <w:rPr>
          <w:bCs/>
          <w:iCs/>
          <w:sz w:val="20"/>
          <w:szCs w:val="20"/>
        </w:rPr>
      </w:pPr>
      <w:r>
        <w:rPr>
          <w:noProof/>
        </w:rPr>
        <w:lastRenderedPageBreak/>
        <w:drawing>
          <wp:inline distT="0" distB="0" distL="0" distR="0" wp14:anchorId="3EFDBAE3" wp14:editId="26F76ECF">
            <wp:extent cx="9057736" cy="566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66688" cy="5672976"/>
                    </a:xfrm>
                    <a:prstGeom prst="rect">
                      <a:avLst/>
                    </a:prstGeom>
                  </pic:spPr>
                </pic:pic>
              </a:graphicData>
            </a:graphic>
          </wp:inline>
        </w:drawing>
      </w:r>
    </w:p>
    <w:p w:rsidR="00A96825" w:rsidRDefault="00A96825" w:rsidP="00A96825">
      <w:pPr>
        <w:pStyle w:val="Figure"/>
      </w:pPr>
    </w:p>
    <w:p w:rsidR="00A96825" w:rsidRDefault="00A96825" w:rsidP="00F76B4D">
      <w:pPr>
        <w:pStyle w:val="Style1"/>
      </w:pPr>
    </w:p>
    <w:p w:rsidR="00F76B4D" w:rsidRDefault="00F76B4D" w:rsidP="00F76B4D">
      <w:pPr>
        <w:pStyle w:val="Heading3"/>
      </w:pPr>
      <w:r>
        <w:t xml:space="preserve">6.1.2 </w:t>
      </w:r>
      <w:bookmarkEnd w:id="0"/>
      <w:r>
        <w:t xml:space="preserve">Basalt Hills </w:t>
      </w:r>
    </w:p>
    <w:p w:rsidR="00F76B4D" w:rsidRPr="00C449E4" w:rsidRDefault="00F76B4D" w:rsidP="00F76B4D">
      <w:pPr>
        <w:pStyle w:val="Style1"/>
        <w:rPr>
          <w:rFonts w:eastAsia="Times New Roman"/>
          <w:color w:val="000000"/>
        </w:rPr>
      </w:pPr>
      <w:r w:rsidRPr="00C449E4">
        <w:t xml:space="preserve">The Basalt Hills stratum occupies approximately 112,532 acres of land within the SLVFO. The BH </w:t>
      </w:r>
      <w:r>
        <w:t>ESs</w:t>
      </w:r>
      <w:r w:rsidRPr="00C449E4">
        <w:t xml:space="preserve"> included </w:t>
      </w:r>
      <w:r>
        <w:t xml:space="preserve">31 </w:t>
      </w:r>
      <w:r w:rsidRPr="00C449E4">
        <w:rPr>
          <w:rFonts w:eastAsia="Times New Roman"/>
          <w:color w:val="000000"/>
          <w:bdr w:val="none" w:sz="0" w:space="0" w:color="auto" w:frame="1"/>
        </w:rPr>
        <w:t>Basalt Hill 7-12" (R051XY277CO)</w:t>
      </w:r>
      <w:r w:rsidRPr="00C449E4">
        <w:rPr>
          <w:color w:val="000000"/>
          <w:bdr w:val="none" w:sz="0" w:space="0" w:color="auto" w:frame="1"/>
        </w:rPr>
        <w:t xml:space="preserve">, 1 </w:t>
      </w:r>
      <w:r w:rsidRPr="00C449E4">
        <w:rPr>
          <w:rStyle w:val="gd15mcfceub"/>
          <w:color w:val="000000"/>
          <w:bdr w:val="none" w:sz="0" w:space="0" w:color="auto" w:frame="1"/>
        </w:rPr>
        <w:t>Basalt Hills (R048AY277CO) and 7 Basalt Hills (R048AY277CO)</w:t>
      </w:r>
      <w:r>
        <w:rPr>
          <w:rStyle w:val="gd15mcfceub"/>
          <w:color w:val="000000"/>
          <w:bdr w:val="none" w:sz="0" w:space="0" w:color="auto" w:frame="1"/>
        </w:rPr>
        <w:t>.  Site characteristics varied from their ESs in multiple areas including percent clay (15 plots), percent slope (4 plots), percent rock fragment (18 plots), soil texture (4 plots), landscape type (16 plots), elevation (1 plot), rock fragment type (3 plots) and depth to bedrock (2 plots). Annual precipitation ranged from 7-30.3 inches with a mean of 11.23 inches. Slope ranged from 1.19-58% with a mean of 16.27%. Elevation ranged from 2,285-2,769 feet with a mean of 2,501 feet. Landscape type was predominantly Hills/Mountains (27 plots) followed by Fan Piedmont (10 plots) and Terraces (2 plots). The most common soil textures included loam (36 horizons), sandy loam (24 horizons) and clay loam (14 horizons). Rock fragments ranged from 0-90% with a mean of 29.45%. Effervescence ranged from non-effervescent to violently effervescent, violently being most common. Percent clay ranged from 1-60% with a mean of 17.76%. BOGR2, HECO26, KRLA2, PIED, ELEL5 and CHGR6 were common species for the BH stratum.</w:t>
      </w:r>
    </w:p>
    <w:p w:rsidR="00F76B4D" w:rsidRDefault="00F76B4D" w:rsidP="00F76B4D">
      <w:pPr>
        <w:widowControl w:val="0"/>
        <w:pBdr>
          <w:top w:val="nil"/>
          <w:left w:val="nil"/>
          <w:bottom w:val="nil"/>
          <w:right w:val="nil"/>
          <w:between w:val="nil"/>
        </w:pBdr>
        <w:ind w:left="-576" w:right="-278"/>
      </w:pPr>
    </w:p>
    <w:p w:rsidR="00F76B4D" w:rsidRDefault="00F76B4D" w:rsidP="00F76B4D">
      <w:pPr>
        <w:pStyle w:val="Heading4"/>
        <w:spacing w:before="0"/>
      </w:pPr>
      <w:r>
        <w:t xml:space="preserve">6.1.2.1 Soil Stability </w:t>
      </w:r>
    </w:p>
    <w:p w:rsidR="00F76B4D" w:rsidRDefault="00F76B4D" w:rsidP="00F76B4D">
      <w:pPr>
        <w:pStyle w:val="Style1"/>
      </w:pPr>
      <w:r>
        <w:t>Soil stability had an average of 3.36 for all samples with a difference of more than 1 between samples under and not under cover (Table 7).</w:t>
      </w:r>
    </w:p>
    <w:p w:rsidR="00F76B4D" w:rsidRDefault="00F76B4D" w:rsidP="00F76B4D">
      <w:pPr>
        <w:widowControl w:val="0"/>
        <w:pBdr>
          <w:top w:val="nil"/>
          <w:left w:val="nil"/>
          <w:bottom w:val="nil"/>
          <w:right w:val="nil"/>
          <w:between w:val="nil"/>
        </w:pBdr>
        <w:spacing w:before="254"/>
        <w:ind w:left="-576" w:right="-278"/>
        <w:rPr>
          <w:sz w:val="16"/>
          <w:szCs w:val="16"/>
        </w:rPr>
      </w:pPr>
      <w:r w:rsidRPr="007155E2">
        <w:rPr>
          <w:rStyle w:val="AppendixheadingChar"/>
        </w:rPr>
        <w:t xml:space="preserve">Table </w:t>
      </w:r>
      <w:r>
        <w:rPr>
          <w:rStyle w:val="AppendixheadingChar"/>
        </w:rPr>
        <w:t>7</w:t>
      </w:r>
      <w:r w:rsidRPr="007155E2">
        <w:rPr>
          <w:rStyle w:val="AppendixheadingChar"/>
        </w:rPr>
        <w:t xml:space="preserve">. Summary of soil stability test results in the </w:t>
      </w:r>
      <w:r>
        <w:rPr>
          <w:rStyle w:val="AppendixheadingChar"/>
        </w:rPr>
        <w:t>BH</w:t>
      </w:r>
      <w:r w:rsidRPr="007155E2">
        <w:rPr>
          <w:rStyle w:val="AppendixheadingChar"/>
        </w:rPr>
        <w:t xml:space="preserve"> strat</w:t>
      </w:r>
      <w:r>
        <w:rPr>
          <w:rStyle w:val="AppendixheadingChar"/>
        </w:rPr>
        <w:t>um</w:t>
      </w:r>
      <w:r w:rsidRPr="008E0743">
        <w:rPr>
          <w:sz w:val="16"/>
          <w:szCs w:val="16"/>
        </w:rPr>
        <w:t>.</w:t>
      </w:r>
    </w:p>
    <w:p w:rsidR="00F76B4D" w:rsidRPr="008E0743" w:rsidRDefault="00F76B4D" w:rsidP="00F76B4D">
      <w:pPr>
        <w:widowControl w:val="0"/>
        <w:pBdr>
          <w:top w:val="nil"/>
          <w:left w:val="nil"/>
          <w:bottom w:val="nil"/>
          <w:right w:val="nil"/>
          <w:between w:val="nil"/>
        </w:pBdr>
        <w:spacing w:before="254"/>
        <w:ind w:left="-576" w:right="-278"/>
        <w:rPr>
          <w:sz w:val="16"/>
          <w:szCs w:val="16"/>
        </w:rPr>
      </w:pPr>
      <w:r>
        <w:rPr>
          <w:noProof/>
        </w:rPr>
        <w:drawing>
          <wp:inline distT="0" distB="0" distL="0" distR="0" wp14:anchorId="5C6141D9" wp14:editId="1A27FF92">
            <wp:extent cx="63341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4125" cy="1323975"/>
                    </a:xfrm>
                    <a:prstGeom prst="rect">
                      <a:avLst/>
                    </a:prstGeom>
                  </pic:spPr>
                </pic:pic>
              </a:graphicData>
            </a:graphic>
          </wp:inline>
        </w:drawing>
      </w:r>
    </w:p>
    <w:p w:rsidR="00F76B4D" w:rsidRDefault="00F76B4D" w:rsidP="00F76B4D">
      <w:pPr>
        <w:pStyle w:val="Heading4"/>
      </w:pPr>
      <w:r>
        <w:t xml:space="preserve">6.1.2.2 Vegetation and Surface Cover </w:t>
      </w:r>
    </w:p>
    <w:p w:rsidR="00F76B4D" w:rsidRPr="00837811" w:rsidRDefault="00F76B4D" w:rsidP="00F76B4D">
      <w:pPr>
        <w:widowControl w:val="0"/>
        <w:pBdr>
          <w:top w:val="nil"/>
          <w:left w:val="nil"/>
          <w:bottom w:val="nil"/>
          <w:right w:val="nil"/>
          <w:between w:val="nil"/>
        </w:pBdr>
        <w:spacing w:before="254"/>
        <w:ind w:left="-576" w:right="-278"/>
      </w:pPr>
      <w:r>
        <w:t>Grass and rock</w:t>
      </w:r>
      <w:r w:rsidRPr="00837811">
        <w:t xml:space="preserve"> covers were the most dominant cover type in the BH stratum (see Figure </w:t>
      </w:r>
      <w:r>
        <w:t>4</w:t>
      </w:r>
      <w:r w:rsidRPr="00837811">
        <w:t xml:space="preserve">). </w:t>
      </w:r>
      <w:r>
        <w:t>Graminoid species BOGR2 dominated the stratum</w:t>
      </w:r>
      <w:r w:rsidRPr="00837811">
        <w:t xml:space="preserve"> (Figure </w:t>
      </w:r>
      <w:r>
        <w:t>5</w:t>
      </w:r>
      <w:r w:rsidRPr="00837811">
        <w:t xml:space="preserve"> and Table </w:t>
      </w:r>
      <w:r>
        <w:t>8</w:t>
      </w:r>
      <w:r w:rsidRPr="00837811">
        <w:t xml:space="preserve">). The BH stratum didn’t have any noxious or grass species present (Figure </w:t>
      </w:r>
      <w:r>
        <w:t>2</w:t>
      </w:r>
      <w:r w:rsidRPr="00837811">
        <w:t xml:space="preserve">, Figure </w:t>
      </w:r>
      <w:r>
        <w:t>3</w:t>
      </w:r>
      <w:r w:rsidRPr="00837811">
        <w:t xml:space="preserve">). Mean foliar cover was highest in this stratum (Figure </w:t>
      </w:r>
      <w:r>
        <w:t>4</w:t>
      </w:r>
      <w:r w:rsidRPr="00837811">
        <w:t>). There were no browse species in the BH stratum.</w:t>
      </w:r>
    </w:p>
    <w:p w:rsidR="00F76B4D" w:rsidRPr="00837811" w:rsidRDefault="00F76B4D" w:rsidP="00F76B4D">
      <w:pPr>
        <w:widowControl w:val="0"/>
        <w:pBdr>
          <w:top w:val="nil"/>
          <w:left w:val="nil"/>
          <w:bottom w:val="nil"/>
          <w:right w:val="nil"/>
          <w:between w:val="nil"/>
        </w:pBdr>
        <w:spacing w:before="254"/>
        <w:ind w:left="-576" w:right="-278"/>
      </w:pPr>
    </w:p>
    <w:p w:rsidR="00F76B4D" w:rsidRDefault="00F76B4D" w:rsidP="00F76B4D">
      <w:pPr>
        <w:widowControl w:val="0"/>
        <w:pBdr>
          <w:top w:val="nil"/>
          <w:left w:val="nil"/>
          <w:bottom w:val="nil"/>
          <w:right w:val="nil"/>
          <w:between w:val="nil"/>
        </w:pBdr>
        <w:spacing w:before="254"/>
        <w:ind w:right="-278"/>
        <w:jc w:val="center"/>
      </w:pPr>
      <w:r>
        <w:rPr>
          <w:noProof/>
        </w:rPr>
        <w:drawing>
          <wp:inline distT="0" distB="0" distL="0" distR="0" wp14:anchorId="0B84406F" wp14:editId="6BA8A53C">
            <wp:extent cx="6400800" cy="40074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4007485"/>
                    </a:xfrm>
                    <a:prstGeom prst="rect">
                      <a:avLst/>
                    </a:prstGeom>
                  </pic:spPr>
                </pic:pic>
              </a:graphicData>
            </a:graphic>
          </wp:inline>
        </w:drawing>
      </w:r>
    </w:p>
    <w:p w:rsidR="00F76B4D" w:rsidRPr="008E0743" w:rsidRDefault="00F76B4D" w:rsidP="00F76B4D">
      <w:pPr>
        <w:pStyle w:val="Figure"/>
      </w:pPr>
      <w:r>
        <w:t>F</w:t>
      </w:r>
      <w:r w:rsidRPr="008E0743">
        <w:t xml:space="preserve">igure </w:t>
      </w:r>
      <w:r>
        <w:t>4</w:t>
      </w:r>
      <w:r w:rsidRPr="008E0743">
        <w:t xml:space="preserve">. Surface and vegetation cover using line-point intercept results for the </w:t>
      </w:r>
      <w:r>
        <w:t>BH</w:t>
      </w:r>
      <w:r w:rsidRPr="008E0743">
        <w:t xml:space="preserve"> strat</w:t>
      </w:r>
      <w:r>
        <w:t>um</w:t>
      </w:r>
      <w:r w:rsidRPr="008E0743">
        <w:t>. n=</w:t>
      </w:r>
      <w:r>
        <w:t>population size.</w:t>
      </w:r>
    </w:p>
    <w:p w:rsidR="00F76B4D" w:rsidRPr="009826B1" w:rsidRDefault="00F76B4D" w:rsidP="00F76B4D"/>
    <w:p w:rsidR="00F76B4D" w:rsidRDefault="00F76B4D" w:rsidP="00F76B4D">
      <w:pPr>
        <w:widowControl w:val="0"/>
        <w:pBdr>
          <w:top w:val="nil"/>
          <w:left w:val="nil"/>
          <w:bottom w:val="nil"/>
          <w:right w:val="nil"/>
          <w:between w:val="nil"/>
        </w:pBdr>
        <w:spacing w:before="254"/>
        <w:ind w:left="-576" w:right="-278"/>
        <w:jc w:val="center"/>
        <w:rPr>
          <w:noProof/>
        </w:rPr>
      </w:pPr>
      <w:r>
        <w:rPr>
          <w:noProof/>
        </w:rPr>
        <w:lastRenderedPageBreak/>
        <w:drawing>
          <wp:inline distT="0" distB="0" distL="0" distR="0" wp14:anchorId="3FD7D081" wp14:editId="5566B94E">
            <wp:extent cx="6400800" cy="40297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029710"/>
                    </a:xfrm>
                    <a:prstGeom prst="rect">
                      <a:avLst/>
                    </a:prstGeom>
                  </pic:spPr>
                </pic:pic>
              </a:graphicData>
            </a:graphic>
          </wp:inline>
        </w:drawing>
      </w:r>
    </w:p>
    <w:p w:rsidR="00F76B4D" w:rsidRPr="008E0743" w:rsidRDefault="00F76B4D" w:rsidP="00F76B4D">
      <w:pPr>
        <w:pStyle w:val="Figure"/>
        <w:rPr>
          <w:noProof/>
        </w:rPr>
      </w:pPr>
    </w:p>
    <w:p w:rsidR="00F76B4D" w:rsidRPr="008E0743" w:rsidRDefault="00F76B4D" w:rsidP="00F76B4D">
      <w:pPr>
        <w:pStyle w:val="Figure"/>
      </w:pPr>
      <w:r w:rsidRPr="008E0743">
        <w:t xml:space="preserve">Figure </w:t>
      </w:r>
      <w:r>
        <w:t>5</w:t>
      </w:r>
      <w:r w:rsidRPr="008E0743">
        <w:t>. Dominant species categorized by growth form (</w:t>
      </w:r>
      <w:r w:rsidR="00D60118">
        <w:t>woody or nonwoody</w:t>
      </w:r>
      <w:r w:rsidRPr="008E0743">
        <w:t xml:space="preserve">) in the </w:t>
      </w:r>
      <w:r w:rsidR="00D60118">
        <w:t>BH</w:t>
      </w:r>
      <w:r w:rsidRPr="008E0743">
        <w:t xml:space="preserve"> stratum</w:t>
      </w:r>
      <w:r>
        <w:t xml:space="preserve"> based on LPI results</w:t>
      </w:r>
      <w:r w:rsidRPr="008E0743">
        <w:t>. n=</w:t>
      </w:r>
      <w:r>
        <w:t>population size</w:t>
      </w:r>
      <w:r w:rsidRPr="008E0743">
        <w:t>.</w:t>
      </w:r>
    </w:p>
    <w:p w:rsidR="00F76B4D" w:rsidRPr="008E0743" w:rsidRDefault="00F76B4D" w:rsidP="00F76B4D">
      <w:pPr>
        <w:widowControl w:val="0"/>
        <w:pBdr>
          <w:top w:val="nil"/>
          <w:left w:val="nil"/>
          <w:bottom w:val="nil"/>
          <w:right w:val="nil"/>
          <w:between w:val="nil"/>
        </w:pBdr>
        <w:ind w:left="-576" w:right="-278"/>
        <w:rPr>
          <w:bCs/>
          <w:iCs/>
          <w:sz w:val="16"/>
          <w:szCs w:val="16"/>
        </w:rPr>
      </w:pPr>
    </w:p>
    <w:p w:rsidR="00F76B4D" w:rsidRDefault="00F76B4D" w:rsidP="00F76B4D">
      <w:pPr>
        <w:pStyle w:val="Heading4"/>
        <w:spacing w:before="0"/>
      </w:pPr>
      <w:r>
        <w:t xml:space="preserve">6.1.2.3 Canopy Gap </w:t>
      </w:r>
    </w:p>
    <w:p w:rsidR="00F76B4D" w:rsidRPr="00837811" w:rsidRDefault="00F76B4D" w:rsidP="00F76B4D">
      <w:pPr>
        <w:widowControl w:val="0"/>
        <w:pBdr>
          <w:top w:val="nil"/>
          <w:left w:val="nil"/>
          <w:bottom w:val="nil"/>
          <w:right w:val="nil"/>
          <w:between w:val="nil"/>
        </w:pBdr>
        <w:ind w:left="-576" w:right="-278"/>
      </w:pPr>
      <w:r>
        <w:t>Percent canopy gap ranged from 13.12-31.93%. Percent canopy cover ranged from 29.03-86.88%. The average percent of canopy gaps per plot was 41.48% and the average canopy cover was 58.52%.</w:t>
      </w:r>
    </w:p>
    <w:p w:rsidR="00F76B4D" w:rsidRPr="008E0743" w:rsidRDefault="00F76B4D" w:rsidP="00F76B4D">
      <w:pPr>
        <w:widowControl w:val="0"/>
        <w:pBdr>
          <w:top w:val="nil"/>
          <w:left w:val="nil"/>
          <w:bottom w:val="nil"/>
          <w:right w:val="nil"/>
          <w:between w:val="nil"/>
        </w:pBdr>
        <w:spacing w:before="254"/>
        <w:ind w:left="-576" w:right="-278"/>
        <w:jc w:val="center"/>
      </w:pPr>
      <w:r>
        <w:rPr>
          <w:noProof/>
        </w:rPr>
        <w:lastRenderedPageBreak/>
        <w:drawing>
          <wp:inline distT="0" distB="0" distL="0" distR="0" wp14:anchorId="60DFDA5F" wp14:editId="06C96414">
            <wp:extent cx="6400800" cy="4010660"/>
            <wp:effectExtent l="0" t="0" r="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010660"/>
                    </a:xfrm>
                    <a:prstGeom prst="rect">
                      <a:avLst/>
                    </a:prstGeom>
                  </pic:spPr>
                </pic:pic>
              </a:graphicData>
            </a:graphic>
          </wp:inline>
        </w:drawing>
      </w:r>
    </w:p>
    <w:p w:rsidR="00F76B4D" w:rsidRDefault="00F76B4D" w:rsidP="00F76B4D">
      <w:pPr>
        <w:pStyle w:val="Figure"/>
      </w:pPr>
      <w:r w:rsidRPr="008E0743">
        <w:t xml:space="preserve">Figure </w:t>
      </w:r>
      <w:r w:rsidR="00D60118">
        <w:t>6</w:t>
      </w:r>
      <w:bookmarkStart w:id="1" w:name="_GoBack"/>
      <w:bookmarkEnd w:id="1"/>
      <w:r w:rsidRPr="008E0743">
        <w:t xml:space="preserve">. </w:t>
      </w:r>
      <w:r>
        <w:t>Barchart</w:t>
      </w:r>
      <w:r w:rsidRPr="008E0743">
        <w:t xml:space="preserve"> of canopy cover and canopy gaps for the </w:t>
      </w:r>
      <w:r>
        <w:t>BH</w:t>
      </w:r>
      <w:r w:rsidRPr="008E0743">
        <w:t xml:space="preserve"> stratum</w:t>
      </w:r>
      <w:r>
        <w:t xml:space="preserve"> based on Gap Intercept results</w:t>
      </w:r>
      <w:r w:rsidRPr="008E0743">
        <w:t xml:space="preserve">. </w:t>
      </w:r>
      <w:r w:rsidR="00D60118">
        <w:t xml:space="preserve">This represents the average per plot for this stratum. </w:t>
      </w:r>
      <w:r w:rsidRPr="008E0743">
        <w:t>Canopy cover was determined by subtracting the percent canopy gaps from 100. n=population size.</w:t>
      </w:r>
    </w:p>
    <w:p w:rsidR="00F76B4D" w:rsidRDefault="00F76B4D" w:rsidP="00F76B4D">
      <w:pPr>
        <w:pStyle w:val="Figure"/>
      </w:pPr>
    </w:p>
    <w:p w:rsidR="00F76B4D" w:rsidRDefault="00F76B4D" w:rsidP="00F76B4D">
      <w:pPr>
        <w:pStyle w:val="Figure"/>
      </w:pPr>
    </w:p>
    <w:p w:rsidR="00F76B4D" w:rsidRDefault="00F76B4D" w:rsidP="00F76B4D">
      <w:pPr>
        <w:pStyle w:val="Figure"/>
      </w:pPr>
    </w:p>
    <w:p w:rsidR="00F76B4D" w:rsidRDefault="00F76B4D" w:rsidP="00F76B4D">
      <w:pPr>
        <w:pStyle w:val="Figure"/>
      </w:pPr>
    </w:p>
    <w:p w:rsidR="00F76B4D" w:rsidRDefault="00F76B4D" w:rsidP="00F76B4D">
      <w:pPr>
        <w:pStyle w:val="Figure"/>
      </w:pPr>
    </w:p>
    <w:p w:rsidR="00F76B4D" w:rsidRDefault="00F76B4D" w:rsidP="00F76B4D">
      <w:pPr>
        <w:pStyle w:val="Figure"/>
      </w:pPr>
    </w:p>
    <w:p w:rsidR="00EA101B" w:rsidRDefault="00EA101B" w:rsidP="00F76B4D">
      <w:pPr>
        <w:pStyle w:val="Figure"/>
      </w:pPr>
    </w:p>
    <w:p w:rsidR="00F76B4D" w:rsidRDefault="00F76B4D" w:rsidP="00F76B4D">
      <w:pPr>
        <w:pStyle w:val="Figure"/>
      </w:pPr>
    </w:p>
    <w:p w:rsidR="00EA101B" w:rsidRDefault="00EA101B" w:rsidP="00F76B4D">
      <w:pPr>
        <w:pStyle w:val="Appendixheading"/>
      </w:pPr>
    </w:p>
    <w:p w:rsidR="00F76B4D" w:rsidRDefault="00F76B4D" w:rsidP="00F76B4D">
      <w:pPr>
        <w:pStyle w:val="Appendixheading"/>
      </w:pPr>
      <w:r>
        <w:t>Table 8. Surface indicators, vegetation cover, canopy gap and cover, and species richness values determined using LPI for the MC stratum. Percent values are the average percent hit.</w:t>
      </w:r>
    </w:p>
    <w:tbl>
      <w:tblPr>
        <w:tblW w:w="11029" w:type="dxa"/>
        <w:tblInd w:w="180" w:type="dxa"/>
        <w:tblBorders>
          <w:top w:val="single" w:sz="4" w:space="0" w:color="D0CECE" w:themeColor="background2" w:themeShade="E6"/>
          <w:insideH w:val="single" w:sz="4" w:space="0" w:color="D0CECE" w:themeColor="background2" w:themeShade="E6"/>
        </w:tblBorders>
        <w:tblLook w:val="04A0" w:firstRow="1" w:lastRow="0" w:firstColumn="1" w:lastColumn="0" w:noHBand="0" w:noVBand="1"/>
      </w:tblPr>
      <w:tblGrid>
        <w:gridCol w:w="4020"/>
        <w:gridCol w:w="1679"/>
        <w:gridCol w:w="1831"/>
        <w:gridCol w:w="1944"/>
        <w:gridCol w:w="1555"/>
      </w:tblGrid>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lastRenderedPageBreak/>
              <w:t>Indicator</w:t>
            </w:r>
          </w:p>
        </w:tc>
        <w:tc>
          <w:tcPr>
            <w:tcW w:w="1679"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Average</w:t>
            </w:r>
          </w:p>
        </w:tc>
        <w:tc>
          <w:tcPr>
            <w:tcW w:w="1831"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Minimum</w:t>
            </w:r>
          </w:p>
        </w:tc>
        <w:tc>
          <w:tcPr>
            <w:tcW w:w="1944"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Maximum</w:t>
            </w:r>
          </w:p>
        </w:tc>
        <w:tc>
          <w:tcPr>
            <w:tcW w:w="1555" w:type="dxa"/>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St.Dev.</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Surface Indicator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Rock Fragment</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19.98</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3.33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44</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9.89</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Litter</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12.53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1.33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23.33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5.54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Bare Soil</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10.56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34</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8.67</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Foliar Cover (%)</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Shrub/Sub-shrub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15.09</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43.33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9.25</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Grass</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38.48</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79.33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17.57</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Succulent</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2.03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10</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Tree</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1.95</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21.33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4.24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Noxious Forb/Herb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Nonnoxious Forb/Herb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3.23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20.67</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3.97</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Vegetation Height (cm)</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Grass</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26.86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48.07</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9.94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Forb/Herb</w:t>
            </w:r>
          </w:p>
        </w:tc>
        <w:tc>
          <w:tcPr>
            <w:tcW w:w="1679"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 xml:space="preserve"> N</w:t>
            </w:r>
            <w:r w:rsidR="00EA101B">
              <w:rPr>
                <w:rFonts w:eastAsia="Times New Roman"/>
                <w:color w:val="000000"/>
              </w:rPr>
              <w:t>/</w:t>
            </w:r>
            <w:r w:rsidRPr="00EA101B">
              <w:rPr>
                <w:rFonts w:eastAsia="Times New Roman"/>
                <w:color w:val="000000"/>
              </w:rPr>
              <w:t>A</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w:t>
            </w:r>
            <w:r w:rsidR="00EA101B">
              <w:rPr>
                <w:rFonts w:eastAsia="Times New Roman"/>
                <w:color w:val="000000"/>
              </w:rPr>
              <w:t>/</w:t>
            </w:r>
            <w:r w:rsidRPr="00EA101B">
              <w:rPr>
                <w:rFonts w:eastAsia="Times New Roman"/>
                <w:color w:val="000000"/>
              </w:rPr>
              <w:t>A</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w:t>
            </w:r>
            <w:r w:rsidR="00EA101B">
              <w:rPr>
                <w:rFonts w:eastAsia="Times New Roman"/>
                <w:color w:val="000000"/>
              </w:rPr>
              <w:t>/</w:t>
            </w:r>
            <w:r w:rsidRPr="00EA101B">
              <w:rPr>
                <w:rFonts w:eastAsia="Times New Roman"/>
                <w:color w:val="000000"/>
              </w:rPr>
              <w:t>A</w:t>
            </w:r>
          </w:p>
        </w:tc>
        <w:tc>
          <w:tcPr>
            <w:tcW w:w="1555"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 xml:space="preserve"> N</w:t>
            </w:r>
            <w:r w:rsidR="00EA101B">
              <w:rPr>
                <w:rFonts w:eastAsia="Times New Roman"/>
                <w:color w:val="000000"/>
              </w:rPr>
              <w:t>/</w:t>
            </w:r>
            <w:r w:rsidRPr="00EA101B">
              <w:rPr>
                <w:rFonts w:eastAsia="Times New Roman"/>
                <w:color w:val="000000"/>
              </w:rPr>
              <w:t>A</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Tree</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224.93</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610</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127.91</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Shrub</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26.48</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Dominant Grass Cover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BOGR2</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0.46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0.5</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HECO26</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0.21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0.41</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Dominant Herb. Cover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N/A</w:t>
            </w:r>
          </w:p>
        </w:tc>
        <w:tc>
          <w:tcPr>
            <w:tcW w:w="1679"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N/A</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N/A</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N/A</w:t>
            </w:r>
          </w:p>
        </w:tc>
        <w:tc>
          <w:tcPr>
            <w:tcW w:w="1555"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 xml:space="preserve">     </w:t>
            </w:r>
            <w:r w:rsidR="00EA101B">
              <w:rPr>
                <w:rFonts w:eastAsia="Times New Roman"/>
                <w:color w:val="000000"/>
              </w:rPr>
              <w:t xml:space="preserve">         </w:t>
            </w:r>
            <w:r w:rsidRPr="00EA101B">
              <w:rPr>
                <w:rFonts w:eastAsia="Times New Roman"/>
                <w:color w:val="000000"/>
              </w:rPr>
              <w:t xml:space="preserve"> N/A</w:t>
            </w:r>
          </w:p>
        </w:tc>
      </w:tr>
      <w:tr w:rsidR="00F76B4D" w:rsidRPr="00EA101B" w:rsidTr="00EA101B">
        <w:trPr>
          <w:trHeight w:val="157"/>
        </w:trPr>
        <w:tc>
          <w:tcPr>
            <w:tcW w:w="7530" w:type="dxa"/>
            <w:gridSpan w:val="3"/>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Dominant Woody Cover (%)</w:t>
            </w:r>
          </w:p>
        </w:tc>
        <w:tc>
          <w:tcPr>
            <w:tcW w:w="1944"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KRLA2</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0.21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PIED</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0.11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Canopy Gaps (%)</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25-50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15.81</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1.39</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25.39</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5.24</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51-100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14.07</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3.13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27.16</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6.57</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101-200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7.94</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22.28</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6.01</w:t>
            </w: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Gaps &gt;200 cm</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3.66</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0</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42.95</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7.45</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Canopy Cover (%)</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Total Canopy Cover</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58.52</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29.03</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86.88</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14.47</w:t>
            </w:r>
          </w:p>
        </w:tc>
      </w:tr>
      <w:tr w:rsidR="00F76B4D" w:rsidRPr="00EA101B" w:rsidTr="00EA101B">
        <w:trPr>
          <w:trHeight w:val="157"/>
        </w:trPr>
        <w:tc>
          <w:tcPr>
            <w:tcW w:w="5699" w:type="dxa"/>
            <w:gridSpan w:val="2"/>
            <w:shd w:val="clear" w:color="auto" w:fill="auto"/>
            <w:noWrap/>
            <w:vAlign w:val="bottom"/>
            <w:hideMark/>
          </w:tcPr>
          <w:p w:rsidR="00F76B4D" w:rsidRPr="00EA101B" w:rsidRDefault="00F76B4D" w:rsidP="007F10CC">
            <w:pPr>
              <w:spacing w:line="240" w:lineRule="auto"/>
              <w:rPr>
                <w:rFonts w:eastAsia="Times New Roman"/>
                <w:b/>
                <w:bCs/>
                <w:color w:val="000000"/>
              </w:rPr>
            </w:pPr>
            <w:r w:rsidRPr="00EA101B">
              <w:rPr>
                <w:rFonts w:eastAsia="Times New Roman"/>
                <w:b/>
                <w:bCs/>
                <w:color w:val="000000"/>
              </w:rPr>
              <w:t>Species Richness</w:t>
            </w:r>
          </w:p>
        </w:tc>
        <w:tc>
          <w:tcPr>
            <w:tcW w:w="1831" w:type="dxa"/>
            <w:shd w:val="clear" w:color="auto" w:fill="auto"/>
            <w:noWrap/>
            <w:vAlign w:val="bottom"/>
            <w:hideMark/>
          </w:tcPr>
          <w:p w:rsidR="00F76B4D" w:rsidRPr="00EA101B" w:rsidRDefault="00F76B4D" w:rsidP="007F10CC">
            <w:pPr>
              <w:spacing w:line="240" w:lineRule="auto"/>
              <w:rPr>
                <w:rFonts w:eastAsia="Times New Roman"/>
                <w:color w:val="000000"/>
              </w:rPr>
            </w:pPr>
          </w:p>
        </w:tc>
        <w:tc>
          <w:tcPr>
            <w:tcW w:w="1944" w:type="dxa"/>
            <w:shd w:val="clear" w:color="auto" w:fill="auto"/>
            <w:noWrap/>
            <w:vAlign w:val="bottom"/>
            <w:hideMark/>
          </w:tcPr>
          <w:p w:rsidR="00F76B4D" w:rsidRPr="00EA101B" w:rsidRDefault="00F76B4D" w:rsidP="007F10CC">
            <w:pPr>
              <w:spacing w:line="240" w:lineRule="auto"/>
              <w:rPr>
                <w:rFonts w:eastAsia="Times New Roman"/>
              </w:rPr>
            </w:pPr>
          </w:p>
        </w:tc>
        <w:tc>
          <w:tcPr>
            <w:tcW w:w="1555" w:type="dxa"/>
            <w:shd w:val="clear" w:color="auto" w:fill="auto"/>
            <w:noWrap/>
            <w:vAlign w:val="bottom"/>
            <w:hideMark/>
          </w:tcPr>
          <w:p w:rsidR="00F76B4D" w:rsidRPr="00EA101B" w:rsidRDefault="00F76B4D" w:rsidP="007F10CC">
            <w:pPr>
              <w:spacing w:line="240" w:lineRule="auto"/>
              <w:rPr>
                <w:rFonts w:eastAsia="Times New Roman"/>
              </w:rPr>
            </w:pPr>
          </w:p>
        </w:tc>
      </w:tr>
      <w:tr w:rsidR="00EA101B" w:rsidRPr="00EA101B" w:rsidTr="00EA101B">
        <w:trPr>
          <w:trHeight w:val="157"/>
        </w:trPr>
        <w:tc>
          <w:tcPr>
            <w:tcW w:w="4020" w:type="dxa"/>
            <w:shd w:val="clear" w:color="auto" w:fill="auto"/>
            <w:noWrap/>
            <w:vAlign w:val="bottom"/>
            <w:hideMark/>
          </w:tcPr>
          <w:p w:rsidR="00F76B4D" w:rsidRPr="00EA101B" w:rsidRDefault="00F76B4D" w:rsidP="007F10CC">
            <w:pPr>
              <w:spacing w:line="240" w:lineRule="auto"/>
              <w:rPr>
                <w:rFonts w:eastAsia="Times New Roman"/>
                <w:color w:val="000000"/>
              </w:rPr>
            </w:pPr>
            <w:r w:rsidRPr="00EA101B">
              <w:rPr>
                <w:rFonts w:eastAsia="Times New Roman"/>
                <w:color w:val="000000"/>
              </w:rPr>
              <w:t>No. Species per Plot</w:t>
            </w:r>
          </w:p>
        </w:tc>
        <w:tc>
          <w:tcPr>
            <w:tcW w:w="1679"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25</w:t>
            </w:r>
          </w:p>
        </w:tc>
        <w:tc>
          <w:tcPr>
            <w:tcW w:w="1831"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2</w:t>
            </w:r>
          </w:p>
        </w:tc>
        <w:tc>
          <w:tcPr>
            <w:tcW w:w="1944"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53</w:t>
            </w:r>
          </w:p>
        </w:tc>
        <w:tc>
          <w:tcPr>
            <w:tcW w:w="1555" w:type="dxa"/>
            <w:shd w:val="clear" w:color="auto" w:fill="auto"/>
            <w:noWrap/>
            <w:vAlign w:val="bottom"/>
            <w:hideMark/>
          </w:tcPr>
          <w:p w:rsidR="00F76B4D" w:rsidRPr="00EA101B" w:rsidRDefault="00F76B4D" w:rsidP="007F10CC">
            <w:pPr>
              <w:spacing w:line="240" w:lineRule="auto"/>
              <w:jc w:val="right"/>
              <w:rPr>
                <w:rFonts w:eastAsia="Times New Roman"/>
                <w:color w:val="000000"/>
              </w:rPr>
            </w:pPr>
            <w:r w:rsidRPr="00EA101B">
              <w:rPr>
                <w:rFonts w:eastAsia="Times New Roman"/>
                <w:color w:val="000000"/>
              </w:rPr>
              <w:t>10.83</w:t>
            </w:r>
          </w:p>
        </w:tc>
      </w:tr>
    </w:tbl>
    <w:p w:rsidR="00F76B4D" w:rsidRDefault="00F76B4D" w:rsidP="00F76B4D">
      <w:pPr>
        <w:pStyle w:val="Appendixheading"/>
      </w:pPr>
    </w:p>
    <w:p w:rsidR="00A66B9B" w:rsidRDefault="00D60118"/>
    <w:p w:rsidR="00F76B4D" w:rsidRDefault="00F76B4D" w:rsidP="00F76B4D">
      <w:pPr>
        <w:pStyle w:val="Style1"/>
      </w:pPr>
      <w:r>
        <w:t>MMS mean foliar cover was the second highest of all stratum (Figure 2). All plots had less than 15 shrubs of each age class (Figure 5). ARNO4 and ARTRW8 had higher shrub density then other browse species (Figure 11).</w:t>
      </w:r>
    </w:p>
    <w:p w:rsidR="00F76B4D" w:rsidRDefault="00F76B4D" w:rsidP="00F76B4D">
      <w:pPr>
        <w:pStyle w:val="Style1"/>
        <w:jc w:val="center"/>
      </w:pPr>
      <w:r>
        <w:rPr>
          <w:noProof/>
        </w:rPr>
        <w:drawing>
          <wp:inline distT="0" distB="0" distL="0" distR="0" wp14:anchorId="36E89A49" wp14:editId="1473A9A1">
            <wp:extent cx="4524375" cy="36410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1838" cy="3647051"/>
                    </a:xfrm>
                    <a:prstGeom prst="rect">
                      <a:avLst/>
                    </a:prstGeom>
                  </pic:spPr>
                </pic:pic>
              </a:graphicData>
            </a:graphic>
          </wp:inline>
        </w:drawing>
      </w:r>
    </w:p>
    <w:p w:rsidR="00F76B4D" w:rsidRPr="004E05A4" w:rsidRDefault="00F76B4D" w:rsidP="00F76B4D">
      <w:pPr>
        <w:pStyle w:val="Figure"/>
      </w:pPr>
      <w:bookmarkStart w:id="2" w:name="_Toc30500590"/>
      <w:r>
        <w:t>Figure 11. Shrub density for the MMS stratum categorized by species based on the browse study results.</w:t>
      </w:r>
      <w:bookmarkEnd w:id="2"/>
    </w:p>
    <w:p w:rsidR="00F76B4D" w:rsidRDefault="00F76B4D"/>
    <w:p w:rsidR="00EA101B" w:rsidRDefault="00EA101B" w:rsidP="00F76B4D">
      <w:pPr>
        <w:pStyle w:val="Style1"/>
      </w:pPr>
    </w:p>
    <w:p w:rsidR="00F76B4D" w:rsidRDefault="00F76B4D" w:rsidP="00F76B4D">
      <w:pPr>
        <w:pStyle w:val="Style1"/>
      </w:pPr>
      <w:r>
        <w:t xml:space="preserve">TerrADat Query Results were used in the comparison of actual values (calculations for each category outlined in section 6.1.1) to benchmark values. A buffer of ± 2 was used for all benchmark values unless the value was 2 then a buffer of ± 1 was used. If the value was 1 then no </w:t>
      </w:r>
      <w:r>
        <w:lastRenderedPageBreak/>
        <w:t>buffer was used. No upper limit was used for Percent Nonnoxious Species. For UFO, SS Forb Height was not changed due to the already low benchmark. Number of Forbs and Shrub Density benchmarks did not have a buffer due to a need for strict meeting or not meeting criteria. Intensification benchmarks were set for ESD not strata.</w:t>
      </w:r>
    </w:p>
    <w:p w:rsidR="00F76B4D" w:rsidRPr="0062483C" w:rsidRDefault="00F76B4D" w:rsidP="00F76B4D">
      <w:pPr>
        <w:pStyle w:val="Style1"/>
      </w:pPr>
      <w:r>
        <w:t>The master sample project had three strata (PJ, MMS and MC) that met at least 40% of their benchmarks. SD and SS strata met 30% and ~38% of their benchmarks respectively (Table 35). The intensification project had 4 ESDs (SF, SSD, DSJ, LF) that met 40-50% of their benchmarks. The CSD ESD only met ~11% of the expected benchmarks (Table 36). LF only had one sample and therefore either met (100%) or did not meet (0%) the criteria.</w:t>
      </w:r>
    </w:p>
    <w:p w:rsidR="00F76B4D" w:rsidRDefault="00F76B4D" w:rsidP="00F76B4D">
      <w:pPr>
        <w:pStyle w:val="Appendixheading"/>
      </w:pPr>
    </w:p>
    <w:p w:rsidR="00F76B4D" w:rsidRPr="00E36795" w:rsidRDefault="00F76B4D" w:rsidP="00F76B4D">
      <w:pPr>
        <w:pStyle w:val="Appendixheading"/>
      </w:pPr>
      <w:bookmarkStart w:id="3" w:name="_Toc30500735"/>
      <w:r>
        <w:t>Table 35. Percent of master sample sites meeting the sampled stratum benchmarks.</w:t>
      </w:r>
      <w:bookmarkEnd w:id="3"/>
    </w:p>
    <w:tbl>
      <w:tblPr>
        <w:tblW w:w="9625" w:type="dxa"/>
        <w:tblLook w:val="04A0" w:firstRow="1" w:lastRow="0" w:firstColumn="1" w:lastColumn="0" w:noHBand="0" w:noVBand="1"/>
      </w:tblPr>
      <w:tblGrid>
        <w:gridCol w:w="1255"/>
        <w:gridCol w:w="5310"/>
        <w:gridCol w:w="3060"/>
      </w:tblGrid>
      <w:tr w:rsidR="00F76B4D" w:rsidRPr="0081783B" w:rsidTr="007F10CC">
        <w:trPr>
          <w:trHeight w:val="300"/>
        </w:trPr>
        <w:tc>
          <w:tcPr>
            <w:tcW w:w="1255" w:type="dxa"/>
            <w:tcBorders>
              <w:top w:val="single" w:sz="4" w:space="0" w:color="auto"/>
              <w:left w:val="single" w:sz="4" w:space="0" w:color="auto"/>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b/>
                <w:bCs/>
                <w:color w:val="000000"/>
                <w:sz w:val="26"/>
                <w:szCs w:val="26"/>
              </w:rPr>
            </w:pPr>
            <w:r w:rsidRPr="0081783B">
              <w:rPr>
                <w:rFonts w:eastAsia="Times New Roman"/>
                <w:b/>
                <w:bCs/>
                <w:color w:val="000000"/>
                <w:sz w:val="26"/>
                <w:szCs w:val="26"/>
              </w:rPr>
              <w:t>Strata</w:t>
            </w:r>
          </w:p>
        </w:tc>
        <w:tc>
          <w:tcPr>
            <w:tcW w:w="5310" w:type="dxa"/>
            <w:tcBorders>
              <w:top w:val="single" w:sz="4" w:space="0" w:color="auto"/>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b/>
                <w:bCs/>
                <w:color w:val="000000"/>
                <w:sz w:val="26"/>
                <w:szCs w:val="26"/>
              </w:rPr>
            </w:pPr>
            <w:r w:rsidRPr="0081783B">
              <w:rPr>
                <w:rFonts w:eastAsia="Times New Roman"/>
                <w:b/>
                <w:bCs/>
                <w:color w:val="000000"/>
                <w:sz w:val="26"/>
                <w:szCs w:val="26"/>
              </w:rPr>
              <w:t>Benchmark Category</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F76B4D" w:rsidRPr="0081783B" w:rsidRDefault="00F76B4D" w:rsidP="007F10CC">
            <w:pPr>
              <w:spacing w:line="240" w:lineRule="auto"/>
              <w:rPr>
                <w:rFonts w:eastAsia="Times New Roman"/>
                <w:b/>
                <w:bCs/>
                <w:color w:val="000000"/>
                <w:sz w:val="26"/>
                <w:szCs w:val="26"/>
              </w:rPr>
            </w:pPr>
            <w:r w:rsidRPr="0081783B">
              <w:rPr>
                <w:rFonts w:eastAsia="Times New Roman"/>
                <w:b/>
                <w:bCs/>
                <w:color w:val="000000"/>
                <w:sz w:val="26"/>
                <w:szCs w:val="26"/>
              </w:rPr>
              <w:t>% Meeting Benchmark</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SD</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Bare Ground (10-40%)</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72.22%</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Soil Aggregate Stability (&gt;3)</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61.11%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Litter (5-20%)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Native (nonnoxious) Species (≥20%)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Grass Cover (5-15%)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55.56%</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Forb Cover (5-10%)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Shrub Cover (10-35%)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27.78%</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Shrub Density (≥0.25 shrub/m^2)</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62.50%</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SS</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sidRPr="0081783B">
              <w:rPr>
                <w:rFonts w:eastAsia="Times New Roman"/>
                <w:color w:val="000000"/>
                <w:sz w:val="26"/>
                <w:szCs w:val="26"/>
              </w:rPr>
              <w:t>Percent Bare Ground (10-35%)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Pr>
                <w:rFonts w:eastAsia="Times New Roman"/>
                <w:color w:val="000000"/>
                <w:sz w:val="26"/>
                <w:szCs w:val="26"/>
              </w:rPr>
              <w:t xml:space="preserve">                           </w:t>
            </w:r>
            <w:r w:rsidRPr="0081783B">
              <w:rPr>
                <w:rFonts w:eastAsia="Times New Roman"/>
                <w:color w:val="000000"/>
                <w:sz w:val="26"/>
                <w:szCs w:val="26"/>
              </w:rPr>
              <w:t>66.67%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Soil Aggregate Stability (≥4)</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11.11%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Litter (10-40%)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Grass Cover (&gt;10%)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55.56%</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Forb Cover (5-40%)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11.11%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Sage Cover (5-25%)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66.67%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Other Shrub Cover (5-15%)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44.44%</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Tree Cover (&lt;3%)</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77.78%</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Grass Height (&gt;10 cm)</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Forb Height (&gt;3 cm)</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Sage Height (25-56 cm)</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75%</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(≤10)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100.00%</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33.33%</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PJ</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Bare Ground (0-35%)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sidRPr="0081783B">
              <w:rPr>
                <w:rFonts w:eastAsia="Times New Roman"/>
                <w:color w:val="000000"/>
                <w:sz w:val="26"/>
                <w:szCs w:val="26"/>
              </w:rPr>
              <w:t>Soil Aggregate Stability (&gt;3)</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Pr>
                <w:rFonts w:eastAsia="Times New Roman"/>
                <w:color w:val="000000"/>
                <w:sz w:val="26"/>
                <w:szCs w:val="26"/>
              </w:rPr>
              <w:t xml:space="preserve">                           </w:t>
            </w:r>
            <w:r w:rsidRPr="0081783B">
              <w:rPr>
                <w:rFonts w:eastAsia="Times New Roman"/>
                <w:color w:val="000000"/>
                <w:sz w:val="26"/>
                <w:szCs w:val="26"/>
              </w:rPr>
              <w:t>76.92%</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Litter (20-60%)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78.57%</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Grass Cover (2-15%)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21.43%</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Forb Cover (2-5%)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50%</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Shrub Cover (3-40%)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64%</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Tree Cover (15-80%)</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71%</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(≤15)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79%</w:t>
            </w:r>
          </w:p>
        </w:tc>
      </w:tr>
      <w:tr w:rsidR="00F76B4D" w:rsidRPr="0081783B" w:rsidTr="007F10CC">
        <w:trPr>
          <w:trHeight w:val="300"/>
        </w:trPr>
        <w:tc>
          <w:tcPr>
            <w:tcW w:w="1255" w:type="dxa"/>
            <w:tcBorders>
              <w:top w:val="single" w:sz="4" w:space="0" w:color="auto"/>
              <w:left w:val="single" w:sz="4" w:space="0" w:color="auto"/>
              <w:bottom w:val="single" w:sz="4" w:space="0" w:color="auto"/>
              <w:right w:val="nil"/>
            </w:tcBorders>
            <w:shd w:val="clear" w:color="auto" w:fill="auto"/>
            <w:noWrap/>
            <w:vAlign w:val="bottom"/>
          </w:tcPr>
          <w:p w:rsidR="00F76B4D" w:rsidRPr="0081783B" w:rsidRDefault="00F76B4D" w:rsidP="007F10CC">
            <w:pPr>
              <w:spacing w:line="240" w:lineRule="auto"/>
              <w:rPr>
                <w:rFonts w:eastAsia="Times New Roman"/>
                <w:i/>
                <w:iCs/>
                <w:color w:val="000000"/>
                <w:sz w:val="26"/>
                <w:szCs w:val="26"/>
              </w:rPr>
            </w:pPr>
            <w:r w:rsidRPr="0081783B">
              <w:rPr>
                <w:rFonts w:eastAsia="Times New Roman"/>
                <w:b/>
                <w:bCs/>
                <w:color w:val="000000"/>
                <w:sz w:val="26"/>
                <w:szCs w:val="26"/>
              </w:rPr>
              <w:t>Strata</w:t>
            </w:r>
          </w:p>
        </w:tc>
        <w:tc>
          <w:tcPr>
            <w:tcW w:w="5310" w:type="dxa"/>
            <w:tcBorders>
              <w:top w:val="single" w:sz="4" w:space="0" w:color="auto"/>
              <w:left w:val="nil"/>
              <w:bottom w:val="single" w:sz="4" w:space="0" w:color="auto"/>
              <w:right w:val="nil"/>
            </w:tcBorders>
            <w:shd w:val="clear" w:color="auto" w:fill="auto"/>
            <w:noWrap/>
            <w:vAlign w:val="bottom"/>
          </w:tcPr>
          <w:p w:rsidR="00F76B4D" w:rsidRPr="0081783B" w:rsidRDefault="00F76B4D" w:rsidP="007F10CC">
            <w:pPr>
              <w:spacing w:line="240" w:lineRule="auto"/>
              <w:rPr>
                <w:rFonts w:eastAsia="Times New Roman"/>
                <w:color w:val="000000"/>
                <w:sz w:val="26"/>
                <w:szCs w:val="26"/>
              </w:rPr>
            </w:pPr>
            <w:r w:rsidRPr="0081783B">
              <w:rPr>
                <w:rFonts w:eastAsia="Times New Roman"/>
                <w:b/>
                <w:bCs/>
                <w:color w:val="000000"/>
                <w:sz w:val="26"/>
                <w:szCs w:val="26"/>
              </w:rPr>
              <w:t>Benchmark Category</w:t>
            </w:r>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F76B4D" w:rsidRDefault="00F76B4D" w:rsidP="007F10CC">
            <w:pPr>
              <w:spacing w:line="240" w:lineRule="auto"/>
              <w:jc w:val="right"/>
            </w:pPr>
            <w:r w:rsidRPr="0081783B">
              <w:rPr>
                <w:rFonts w:eastAsia="Times New Roman"/>
                <w:b/>
                <w:bCs/>
                <w:color w:val="000000"/>
                <w:sz w:val="26"/>
                <w:szCs w:val="26"/>
              </w:rPr>
              <w:t>% Meeting Benchmark</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MMS</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Soil Aggregate Stability (≥5)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t xml:space="preserve">                                </w:t>
            </w:r>
            <w:r w:rsidRPr="0081783B">
              <w:rPr>
                <w:rFonts w:eastAsia="Times New Roman"/>
                <w:color w:val="000000"/>
                <w:sz w:val="26"/>
                <w:szCs w:val="26"/>
              </w:rPr>
              <w:t>44.44%</w:t>
            </w: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Percent Nonnative (noxious) Species (≤5)</w:t>
            </w: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Pr>
                <w:rFonts w:eastAsia="Times New Roman"/>
                <w:color w:val="000000"/>
                <w:sz w:val="26"/>
                <w:szCs w:val="26"/>
              </w:rPr>
              <w:t>100%</w:t>
            </w:r>
          </w:p>
        </w:tc>
      </w:tr>
      <w:tr w:rsidR="00F76B4D" w:rsidRPr="0081783B" w:rsidTr="007F10CC">
        <w:trPr>
          <w:trHeight w:val="300"/>
        </w:trPr>
        <w:tc>
          <w:tcPr>
            <w:tcW w:w="1255"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sidRPr="0081783B">
              <w:rPr>
                <w:rFonts w:eastAsia="Times New Roman"/>
                <w:color w:val="000000"/>
                <w:sz w:val="26"/>
                <w:szCs w:val="26"/>
              </w:rPr>
              <w:t>Number of Forbs (&gt;5)</w:t>
            </w:r>
            <w:r>
              <w:rPr>
                <w:rFonts w:eastAsia="Times New Roman"/>
                <w:color w:val="000000"/>
                <w:sz w:val="26"/>
                <w:szCs w:val="26"/>
              </w:rPr>
              <w:t xml:space="preserve">                                                        </w:t>
            </w:r>
          </w:p>
        </w:tc>
        <w:tc>
          <w:tcPr>
            <w:tcW w:w="3060" w:type="dxa"/>
            <w:tcBorders>
              <w:top w:val="nil"/>
              <w:left w:val="nil"/>
              <w:bottom w:val="single" w:sz="4" w:space="0" w:color="auto"/>
              <w:right w:val="nil"/>
            </w:tcBorders>
            <w:shd w:val="clear" w:color="auto" w:fill="auto"/>
            <w:noWrap/>
            <w:vAlign w:val="bottom"/>
            <w:hideMark/>
          </w:tcPr>
          <w:p w:rsidR="00F76B4D" w:rsidRPr="0081783B" w:rsidRDefault="00F76B4D" w:rsidP="007F10CC">
            <w:pPr>
              <w:spacing w:line="240" w:lineRule="auto"/>
              <w:rPr>
                <w:rFonts w:eastAsia="Times New Roman"/>
                <w:sz w:val="26"/>
                <w:szCs w:val="26"/>
              </w:rPr>
            </w:pPr>
            <w:r>
              <w:rPr>
                <w:rFonts w:eastAsia="Times New Roman"/>
                <w:color w:val="000000"/>
                <w:sz w:val="26"/>
                <w:szCs w:val="26"/>
              </w:rPr>
              <w:t xml:space="preserve">                              </w:t>
            </w:r>
            <w:r w:rsidRPr="0081783B">
              <w:rPr>
                <w:rFonts w:eastAsia="Times New Roman"/>
                <w:color w:val="000000"/>
                <w:sz w:val="26"/>
                <w:szCs w:val="26"/>
              </w:rPr>
              <w:t>100%</w:t>
            </w:r>
          </w:p>
        </w:tc>
      </w:tr>
      <w:tr w:rsidR="00F76B4D" w:rsidRPr="0081783B" w:rsidTr="007F10CC">
        <w:trPr>
          <w:trHeight w:val="300"/>
        </w:trPr>
        <w:tc>
          <w:tcPr>
            <w:tcW w:w="1255"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r w:rsidRPr="0081783B">
              <w:rPr>
                <w:rFonts w:eastAsia="Times New Roman"/>
                <w:i/>
                <w:iCs/>
                <w:color w:val="000000"/>
                <w:sz w:val="26"/>
                <w:szCs w:val="26"/>
              </w:rPr>
              <w:t>MC</w:t>
            </w:r>
          </w:p>
        </w:tc>
        <w:tc>
          <w:tcPr>
            <w:tcW w:w="531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r w:rsidRPr="0081783B">
              <w:rPr>
                <w:rFonts w:eastAsia="Times New Roman"/>
                <w:color w:val="000000"/>
                <w:sz w:val="26"/>
                <w:szCs w:val="26"/>
              </w:rPr>
              <w:t>Number of Forbs (&gt;5)</w:t>
            </w:r>
          </w:p>
        </w:tc>
        <w:tc>
          <w:tcPr>
            <w:tcW w:w="3060" w:type="dxa"/>
            <w:tcBorders>
              <w:top w:val="single" w:sz="4" w:space="0" w:color="auto"/>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r w:rsidRPr="0081783B">
              <w:rPr>
                <w:rFonts w:eastAsia="Times New Roman"/>
                <w:color w:val="000000"/>
                <w:sz w:val="26"/>
                <w:szCs w:val="26"/>
              </w:rPr>
              <w:t>100%</w:t>
            </w:r>
          </w:p>
        </w:tc>
      </w:tr>
      <w:tr w:rsidR="00F76B4D" w:rsidRPr="0081783B" w:rsidTr="007F10CC">
        <w:trPr>
          <w:trHeight w:val="300"/>
        </w:trPr>
        <w:tc>
          <w:tcPr>
            <w:tcW w:w="1255" w:type="dxa"/>
            <w:tcBorders>
              <w:top w:val="nil"/>
              <w:left w:val="nil"/>
              <w:bottom w:val="nil"/>
              <w:right w:val="nil"/>
            </w:tcBorders>
            <w:shd w:val="clear" w:color="auto" w:fill="auto"/>
            <w:noWrap/>
            <w:vAlign w:val="bottom"/>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tcPr>
          <w:p w:rsidR="00F76B4D" w:rsidRPr="0081783B" w:rsidRDefault="00F76B4D" w:rsidP="007F10CC">
            <w:pPr>
              <w:spacing w:line="240" w:lineRule="auto"/>
              <w:rPr>
                <w:rFonts w:eastAsia="Times New Roman"/>
                <w:color w:val="000000"/>
                <w:sz w:val="26"/>
                <w:szCs w:val="26"/>
              </w:rPr>
            </w:pPr>
          </w:p>
        </w:tc>
        <w:tc>
          <w:tcPr>
            <w:tcW w:w="3060" w:type="dxa"/>
            <w:tcBorders>
              <w:top w:val="nil"/>
              <w:left w:val="nil"/>
              <w:bottom w:val="nil"/>
              <w:right w:val="nil"/>
            </w:tcBorders>
            <w:shd w:val="clear" w:color="auto" w:fill="auto"/>
            <w:noWrap/>
            <w:vAlign w:val="bottom"/>
          </w:tcPr>
          <w:p w:rsidR="00F76B4D" w:rsidRPr="0081783B" w:rsidRDefault="00F76B4D" w:rsidP="007F10CC">
            <w:pPr>
              <w:spacing w:line="240" w:lineRule="auto"/>
              <w:jc w:val="right"/>
              <w:rPr>
                <w:rFonts w:eastAsia="Times New Roman"/>
                <w:color w:val="000000"/>
                <w:sz w:val="26"/>
                <w:szCs w:val="26"/>
              </w:rPr>
            </w:pPr>
          </w:p>
        </w:tc>
      </w:tr>
      <w:tr w:rsidR="00F76B4D" w:rsidRPr="0081783B" w:rsidTr="007F10CC">
        <w:trPr>
          <w:trHeight w:val="300"/>
        </w:trPr>
        <w:tc>
          <w:tcPr>
            <w:tcW w:w="1255"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i/>
                <w:iCs/>
                <w:color w:val="000000"/>
                <w:sz w:val="26"/>
                <w:szCs w:val="26"/>
              </w:rPr>
            </w:pPr>
          </w:p>
        </w:tc>
        <w:tc>
          <w:tcPr>
            <w:tcW w:w="531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rPr>
                <w:rFonts w:eastAsia="Times New Roman"/>
                <w:color w:val="000000"/>
                <w:sz w:val="26"/>
                <w:szCs w:val="26"/>
              </w:rPr>
            </w:pPr>
          </w:p>
        </w:tc>
        <w:tc>
          <w:tcPr>
            <w:tcW w:w="3060" w:type="dxa"/>
            <w:tcBorders>
              <w:top w:val="nil"/>
              <w:left w:val="nil"/>
              <w:bottom w:val="nil"/>
              <w:right w:val="nil"/>
            </w:tcBorders>
            <w:shd w:val="clear" w:color="auto" w:fill="auto"/>
            <w:noWrap/>
            <w:vAlign w:val="bottom"/>
            <w:hideMark/>
          </w:tcPr>
          <w:p w:rsidR="00F76B4D" w:rsidRPr="0081783B" w:rsidRDefault="00F76B4D" w:rsidP="007F10CC">
            <w:pPr>
              <w:spacing w:line="240" w:lineRule="auto"/>
              <w:jc w:val="right"/>
              <w:rPr>
                <w:rFonts w:eastAsia="Times New Roman"/>
                <w:color w:val="000000"/>
                <w:sz w:val="26"/>
                <w:szCs w:val="26"/>
              </w:rPr>
            </w:pPr>
          </w:p>
        </w:tc>
      </w:tr>
    </w:tbl>
    <w:p w:rsidR="00F76B4D" w:rsidRDefault="00F15A58">
      <w:r>
        <w:rPr>
          <w:noProof/>
        </w:rPr>
        <w:lastRenderedPageBreak/>
        <w:drawing>
          <wp:anchor distT="0" distB="0" distL="114300" distR="114300" simplePos="0" relativeHeight="251658240" behindDoc="0" locked="0" layoutInCell="1" allowOverlap="1" wp14:anchorId="25987D0B">
            <wp:simplePos x="0" y="0"/>
            <wp:positionH relativeFrom="page">
              <wp:align>left</wp:align>
            </wp:positionH>
            <wp:positionV relativeFrom="paragraph">
              <wp:posOffset>420</wp:posOffset>
            </wp:positionV>
            <wp:extent cx="10146030" cy="6267030"/>
            <wp:effectExtent l="0" t="0" r="762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146030" cy="6267030"/>
                    </a:xfrm>
                    <a:prstGeom prst="rect">
                      <a:avLst/>
                    </a:prstGeom>
                  </pic:spPr>
                </pic:pic>
              </a:graphicData>
            </a:graphic>
            <wp14:sizeRelH relativeFrom="margin">
              <wp14:pctWidth>0</wp14:pctWidth>
            </wp14:sizeRelH>
            <wp14:sizeRelV relativeFrom="margin">
              <wp14:pctHeight>0</wp14:pctHeight>
            </wp14:sizeRelV>
          </wp:anchor>
        </w:drawing>
      </w:r>
    </w:p>
    <w:sectPr w:rsidR="00F76B4D" w:rsidSect="00F15A58">
      <w:head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825" w:rsidRDefault="00A96825" w:rsidP="00A96825">
      <w:pPr>
        <w:spacing w:line="240" w:lineRule="auto"/>
      </w:pPr>
      <w:r>
        <w:separator/>
      </w:r>
    </w:p>
  </w:endnote>
  <w:endnote w:type="continuationSeparator" w:id="0">
    <w:p w:rsidR="00A96825" w:rsidRDefault="00A96825" w:rsidP="00A96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825" w:rsidRDefault="00A96825" w:rsidP="00A96825">
      <w:pPr>
        <w:spacing w:line="240" w:lineRule="auto"/>
      </w:pPr>
      <w:r>
        <w:separator/>
      </w:r>
    </w:p>
  </w:footnote>
  <w:footnote w:type="continuationSeparator" w:id="0">
    <w:p w:rsidR="00A96825" w:rsidRDefault="00A96825" w:rsidP="00A968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25" w:rsidRDefault="00A96825" w:rsidP="00A96825">
    <w:pPr>
      <w:pStyle w:val="Style1"/>
    </w:pPr>
    <w:r>
      <w:t>Example of produced summaries, tables and figures</w:t>
    </w:r>
  </w:p>
  <w:p w:rsidR="00A96825" w:rsidRDefault="00A968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4D"/>
    <w:rsid w:val="0012516B"/>
    <w:rsid w:val="00356B6E"/>
    <w:rsid w:val="004E02F2"/>
    <w:rsid w:val="007255E6"/>
    <w:rsid w:val="00A3129A"/>
    <w:rsid w:val="00A96825"/>
    <w:rsid w:val="00BE4039"/>
    <w:rsid w:val="00D60118"/>
    <w:rsid w:val="00EA101B"/>
    <w:rsid w:val="00F15A58"/>
    <w:rsid w:val="00F76B4D"/>
    <w:rsid w:val="00FA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0683"/>
  <w15:chartTrackingRefBased/>
  <w15:docId w15:val="{C3ACC32F-D744-4456-A986-116718A8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6B4D"/>
    <w:pPr>
      <w:spacing w:after="0" w:line="276" w:lineRule="auto"/>
    </w:pPr>
    <w:rPr>
      <w:rFonts w:ascii="Arial" w:eastAsia="Arial" w:hAnsi="Arial" w:cs="Arial"/>
    </w:rPr>
  </w:style>
  <w:style w:type="paragraph" w:styleId="Heading3">
    <w:name w:val="heading 3"/>
    <w:basedOn w:val="Normal"/>
    <w:next w:val="Normal"/>
    <w:link w:val="Heading3Char"/>
    <w:uiPriority w:val="9"/>
    <w:unhideWhenUsed/>
    <w:qFormat/>
    <w:rsid w:val="00F76B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6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B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6B4D"/>
    <w:rPr>
      <w:rFonts w:asciiTheme="majorHAnsi" w:eastAsiaTheme="majorEastAsia" w:hAnsiTheme="majorHAnsi" w:cstheme="majorBidi"/>
      <w:i/>
      <w:iCs/>
      <w:color w:val="2F5496" w:themeColor="accent1" w:themeShade="BF"/>
    </w:rPr>
  </w:style>
  <w:style w:type="paragraph" w:customStyle="1" w:styleId="Appendixheading">
    <w:name w:val="Appendix heading"/>
    <w:basedOn w:val="Normal"/>
    <w:link w:val="AppendixheadingChar"/>
    <w:qFormat/>
    <w:rsid w:val="00F76B4D"/>
    <w:rPr>
      <w:sz w:val="16"/>
      <w:szCs w:val="16"/>
    </w:rPr>
  </w:style>
  <w:style w:type="paragraph" w:customStyle="1" w:styleId="Figure">
    <w:name w:val="Figure"/>
    <w:basedOn w:val="Normal"/>
    <w:link w:val="FigureChar"/>
    <w:qFormat/>
    <w:rsid w:val="00F76B4D"/>
    <w:rPr>
      <w:sz w:val="16"/>
      <w:szCs w:val="18"/>
    </w:rPr>
  </w:style>
  <w:style w:type="character" w:customStyle="1" w:styleId="AppendixheadingChar">
    <w:name w:val="Appendix heading Char"/>
    <w:basedOn w:val="DefaultParagraphFont"/>
    <w:link w:val="Appendixheading"/>
    <w:rsid w:val="00F76B4D"/>
    <w:rPr>
      <w:rFonts w:ascii="Arial" w:eastAsia="Arial" w:hAnsi="Arial" w:cs="Arial"/>
      <w:sz w:val="16"/>
      <w:szCs w:val="16"/>
    </w:rPr>
  </w:style>
  <w:style w:type="character" w:customStyle="1" w:styleId="FigureChar">
    <w:name w:val="Figure Char"/>
    <w:basedOn w:val="DefaultParagraphFont"/>
    <w:link w:val="Figure"/>
    <w:rsid w:val="00F76B4D"/>
    <w:rPr>
      <w:rFonts w:ascii="Arial" w:eastAsia="Arial" w:hAnsi="Arial" w:cs="Arial"/>
      <w:sz w:val="16"/>
      <w:szCs w:val="18"/>
    </w:rPr>
  </w:style>
  <w:style w:type="paragraph" w:customStyle="1" w:styleId="Style1">
    <w:name w:val="Style1"/>
    <w:basedOn w:val="Normal"/>
    <w:link w:val="Style1Char"/>
    <w:qFormat/>
    <w:rsid w:val="00F76B4D"/>
    <w:pPr>
      <w:widowControl w:val="0"/>
      <w:pBdr>
        <w:top w:val="nil"/>
        <w:left w:val="nil"/>
        <w:bottom w:val="nil"/>
        <w:right w:val="nil"/>
        <w:between w:val="nil"/>
      </w:pBdr>
      <w:spacing w:before="254"/>
      <w:ind w:left="-576" w:right="-278"/>
    </w:pPr>
  </w:style>
  <w:style w:type="character" w:customStyle="1" w:styleId="Style1Char">
    <w:name w:val="Style1 Char"/>
    <w:basedOn w:val="DefaultParagraphFont"/>
    <w:link w:val="Style1"/>
    <w:rsid w:val="00F76B4D"/>
    <w:rPr>
      <w:rFonts w:ascii="Arial" w:eastAsia="Arial" w:hAnsi="Arial" w:cs="Arial"/>
    </w:rPr>
  </w:style>
  <w:style w:type="character" w:customStyle="1" w:styleId="gd15mcfceub">
    <w:name w:val="gd15mcfceub"/>
    <w:basedOn w:val="DefaultParagraphFont"/>
    <w:rsid w:val="00F76B4D"/>
  </w:style>
  <w:style w:type="paragraph" w:styleId="Header">
    <w:name w:val="header"/>
    <w:basedOn w:val="Normal"/>
    <w:link w:val="HeaderChar"/>
    <w:uiPriority w:val="99"/>
    <w:unhideWhenUsed/>
    <w:rsid w:val="00A96825"/>
    <w:pPr>
      <w:tabs>
        <w:tab w:val="center" w:pos="4680"/>
        <w:tab w:val="right" w:pos="9360"/>
      </w:tabs>
      <w:spacing w:line="240" w:lineRule="auto"/>
    </w:pPr>
  </w:style>
  <w:style w:type="character" w:customStyle="1" w:styleId="HeaderChar">
    <w:name w:val="Header Char"/>
    <w:basedOn w:val="DefaultParagraphFont"/>
    <w:link w:val="Header"/>
    <w:uiPriority w:val="99"/>
    <w:rsid w:val="00A96825"/>
    <w:rPr>
      <w:rFonts w:ascii="Arial" w:eastAsia="Arial" w:hAnsi="Arial" w:cs="Arial"/>
    </w:rPr>
  </w:style>
  <w:style w:type="paragraph" w:styleId="Footer">
    <w:name w:val="footer"/>
    <w:basedOn w:val="Normal"/>
    <w:link w:val="FooterChar"/>
    <w:uiPriority w:val="99"/>
    <w:unhideWhenUsed/>
    <w:rsid w:val="00A96825"/>
    <w:pPr>
      <w:tabs>
        <w:tab w:val="center" w:pos="4680"/>
        <w:tab w:val="right" w:pos="9360"/>
      </w:tabs>
      <w:spacing w:line="240" w:lineRule="auto"/>
    </w:pPr>
  </w:style>
  <w:style w:type="character" w:customStyle="1" w:styleId="FooterChar">
    <w:name w:val="Footer Char"/>
    <w:basedOn w:val="DefaultParagraphFont"/>
    <w:link w:val="Footer"/>
    <w:uiPriority w:val="99"/>
    <w:rsid w:val="00A9682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Brandi E</dc:creator>
  <cp:keywords/>
  <dc:description/>
  <cp:lastModifiedBy>Wheeler, Brandi E</cp:lastModifiedBy>
  <cp:revision>5</cp:revision>
  <dcterms:created xsi:type="dcterms:W3CDTF">2020-03-02T16:40:00Z</dcterms:created>
  <dcterms:modified xsi:type="dcterms:W3CDTF">2020-03-02T18:26:00Z</dcterms:modified>
</cp:coreProperties>
</file>