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4AE0" w14:textId="2988C599" w:rsidR="0016444B" w:rsidRPr="005D58FA" w:rsidRDefault="0016444B" w:rsidP="00F30FD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D58FA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 w:rsidR="003A0F35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  <w:r w:rsidRPr="005D58FA">
        <w:rPr>
          <w:rFonts w:ascii="Times New Roman" w:hAnsi="Times New Roman" w:cs="Times New Roman"/>
          <w:b/>
          <w:bCs/>
          <w:sz w:val="32"/>
          <w:szCs w:val="32"/>
        </w:rPr>
        <w:t xml:space="preserve">: Empirical Comparison of Classical and ML Time Series Methods  </w:t>
      </w:r>
    </w:p>
    <w:p w14:paraId="7A577C57" w14:textId="77777777" w:rsidR="0016444B" w:rsidRPr="005D58FA" w:rsidRDefault="0016444B" w:rsidP="00F30FD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D58FA">
        <w:rPr>
          <w:rFonts w:ascii="Times New Roman" w:hAnsi="Times New Roman" w:cs="Times New Roman"/>
          <w:b/>
          <w:bCs/>
          <w:sz w:val="28"/>
          <w:szCs w:val="28"/>
        </w:rPr>
        <w:t>Topic: Cointegration (VECM) vs. Transformer Models for Exchange Rate Prediction</w:t>
      </w:r>
    </w:p>
    <w:p w14:paraId="094A174F" w14:textId="77777777" w:rsidR="0016444B" w:rsidRPr="005D58FA" w:rsidRDefault="0016444B" w:rsidP="00F30FD5">
      <w:pPr>
        <w:spacing w:line="240" w:lineRule="auto"/>
        <w:rPr>
          <w:rFonts w:ascii="Times New Roman" w:hAnsi="Times New Roman" w:cs="Times New Roman"/>
          <w:b/>
          <w:bCs/>
        </w:rPr>
      </w:pPr>
      <w:r w:rsidRPr="005D58FA">
        <w:rPr>
          <w:rFonts w:ascii="Times New Roman" w:hAnsi="Times New Roman" w:cs="Times New Roman"/>
          <w:b/>
          <w:bCs/>
        </w:rPr>
        <w:t>1. Abstract</w:t>
      </w:r>
    </w:p>
    <w:p w14:paraId="7A6CF55B" w14:textId="77777777" w:rsidR="0016444B" w:rsidRPr="006E1926" w:rsidRDefault="0016444B" w:rsidP="00F30FD5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E1926">
        <w:rPr>
          <w:rFonts w:ascii="Times New Roman" w:hAnsi="Times New Roman" w:cs="Times New Roman"/>
          <w:sz w:val="22"/>
          <w:szCs w:val="22"/>
        </w:rPr>
        <w:t>This study conducts a rigorous empirical comparison between Vector Error Correction Models (VECM)</w:t>
      </w:r>
      <w:r w:rsidRPr="005D58FA">
        <w:rPr>
          <w:rFonts w:ascii="Times New Roman" w:hAnsi="Times New Roman" w:cs="Times New Roman"/>
          <w:sz w:val="22"/>
          <w:szCs w:val="22"/>
        </w:rPr>
        <w:t>, a</w:t>
      </w:r>
      <w:r w:rsidRPr="006E1926">
        <w:rPr>
          <w:rFonts w:ascii="Times New Roman" w:hAnsi="Times New Roman" w:cs="Times New Roman"/>
          <w:sz w:val="22"/>
          <w:szCs w:val="22"/>
        </w:rPr>
        <w:t xml:space="preserve"> classical econometric approach grounded in cointegration</w:t>
      </w:r>
      <w:r w:rsidRPr="005D58FA">
        <w:rPr>
          <w:rFonts w:ascii="Times New Roman" w:hAnsi="Times New Roman" w:cs="Times New Roman"/>
          <w:sz w:val="22"/>
          <w:szCs w:val="22"/>
        </w:rPr>
        <w:t xml:space="preserve"> </w:t>
      </w:r>
      <w:r w:rsidRPr="006E1926">
        <w:rPr>
          <w:rFonts w:ascii="Times New Roman" w:hAnsi="Times New Roman" w:cs="Times New Roman"/>
          <w:sz w:val="22"/>
          <w:szCs w:val="22"/>
        </w:rPr>
        <w:t>and Transformer models, a modern attention-based deep learning architecture, for forecasting exchange rates. Using daily data on EUR/USD, GBP/USD, and USD/JPY from 1999-01-04 to 2025-12-05, we evaluate both models on forecast accuracy, interpretability, inferential validity, and forecasting behavior. The Transformer achieves markedly lower forecast errors (average RMSE: 1.119, MAE: 0.894, MAPE: 1.24%) than the VECM baseline (average RMSE: 10.823, MAE: 9.112, MAPE: 10.17%), yielding an 89.7% reduction in RMSE and consistently outperforming across all three currency pairs. While the Transformer excels in predictive accuracy by capturing non-linear temporal dependencies through multi-head self-attention, the VECM offers superior economic interpretability via explicit cointegrating vectors and adjustment coefficients that quantify long-run equilibria and speeds of error correction. The results highlight a clear trade-off between accuracy and interpretability: Transformers are preferable when forecasting performance is paramount, whereas VECMs remain advantageous for hypothesis testing, policy analysis, and economically meaningful inference in exchange rate markets.</w:t>
      </w:r>
    </w:p>
    <w:p w14:paraId="15BCC7C6" w14:textId="77777777" w:rsidR="00BE28B1" w:rsidRPr="005D58FA" w:rsidRDefault="00BE28B1" w:rsidP="00F30FD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A6085BA" w14:textId="2AD05795" w:rsidR="0016444B" w:rsidRPr="0016444B" w:rsidRDefault="0016444B" w:rsidP="00F30FD5">
      <w:pPr>
        <w:spacing w:line="240" w:lineRule="auto"/>
        <w:rPr>
          <w:rFonts w:ascii="Times New Roman" w:hAnsi="Times New Roman" w:cs="Times New Roman"/>
        </w:rPr>
      </w:pPr>
      <w:r w:rsidRPr="0016444B">
        <w:rPr>
          <w:rFonts w:ascii="Times New Roman" w:hAnsi="Times New Roman" w:cs="Times New Roman"/>
          <w:b/>
          <w:bCs/>
        </w:rPr>
        <w:t>2. Research Question &amp; Motivation</w:t>
      </w:r>
    </w:p>
    <w:p w14:paraId="63F72F59" w14:textId="77777777" w:rsidR="0016444B" w:rsidRPr="0016444B" w:rsidRDefault="0016444B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444B">
        <w:rPr>
          <w:rFonts w:ascii="Times New Roman" w:hAnsi="Times New Roman" w:cs="Times New Roman"/>
          <w:b/>
          <w:bCs/>
          <w:sz w:val="22"/>
          <w:szCs w:val="22"/>
        </w:rPr>
        <w:t>2.1 Research Question</w:t>
      </w:r>
    </w:p>
    <w:p w14:paraId="1CE05010" w14:textId="77777777" w:rsidR="0016444B" w:rsidRPr="0016444B" w:rsidRDefault="0016444B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444B">
        <w:rPr>
          <w:rFonts w:ascii="Times New Roman" w:hAnsi="Times New Roman" w:cs="Times New Roman"/>
          <w:sz w:val="22"/>
          <w:szCs w:val="22"/>
        </w:rPr>
        <w:t>How do Vector Error Correction Models (VECM) and Transformer models compare in forecasting exchange rates, and what are the trade-offs between classical econometric interpretability and machine learning forecasting performance?</w:t>
      </w:r>
    </w:p>
    <w:p w14:paraId="2C0ED158" w14:textId="77777777" w:rsidR="00BE28B1" w:rsidRPr="005D58FA" w:rsidRDefault="00BE28B1" w:rsidP="00F30FD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46C2A69" w14:textId="0648A5D7" w:rsidR="0016444B" w:rsidRPr="0016444B" w:rsidRDefault="0016444B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6444B">
        <w:rPr>
          <w:rFonts w:ascii="Times New Roman" w:hAnsi="Times New Roman" w:cs="Times New Roman"/>
          <w:b/>
          <w:bCs/>
          <w:sz w:val="22"/>
          <w:szCs w:val="22"/>
        </w:rPr>
        <w:t>2.2 Motivation</w:t>
      </w:r>
    </w:p>
    <w:p w14:paraId="3027E533" w14:textId="08EC70B3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D58FA">
        <w:rPr>
          <w:rFonts w:ascii="Times New Roman" w:hAnsi="Times New Roman" w:cs="Times New Roman"/>
          <w:b/>
          <w:bCs/>
          <w:sz w:val="22"/>
          <w:szCs w:val="22"/>
        </w:rPr>
        <w:t>Economic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5909F1C" w14:textId="1AA85539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sz w:val="22"/>
          <w:szCs w:val="22"/>
        </w:rPr>
        <w:t xml:space="preserve">1. </w:t>
      </w:r>
      <w:r w:rsidRPr="001B0A94">
        <w:rPr>
          <w:rFonts w:ascii="Times New Roman" w:hAnsi="Times New Roman" w:cs="Times New Roman"/>
          <w:sz w:val="22"/>
          <w:szCs w:val="22"/>
        </w:rPr>
        <w:t>Exchange rates affect trade, investment and policy; forecast errors can be costly for hedging and portfolio allocation.</w:t>
      </w:r>
    </w:p>
    <w:p w14:paraId="3958E168" w14:textId="5E0A4060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sz w:val="22"/>
          <w:szCs w:val="22"/>
        </w:rPr>
        <w:t xml:space="preserve">2. </w:t>
      </w:r>
      <w:r w:rsidRPr="001B0A94">
        <w:rPr>
          <w:rFonts w:ascii="Times New Roman" w:hAnsi="Times New Roman" w:cs="Times New Roman"/>
          <w:sz w:val="22"/>
          <w:szCs w:val="22"/>
        </w:rPr>
        <w:t>EUR/USD, GBP/USD and USD/JPY are among the most traded currency pairs; understanding their dynamics is practically important.</w:t>
      </w:r>
    </w:p>
    <w:p w14:paraId="21CC1C70" w14:textId="6304B526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B0A94">
        <w:rPr>
          <w:rFonts w:ascii="Times New Roman" w:hAnsi="Times New Roman" w:cs="Times New Roman"/>
          <w:b/>
          <w:bCs/>
          <w:sz w:val="22"/>
          <w:szCs w:val="22"/>
        </w:rPr>
        <w:t>Methodological</w:t>
      </w:r>
      <w:r w:rsidRPr="005D58F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E6BBD5F" w14:textId="4A9F457F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sz w:val="22"/>
          <w:szCs w:val="22"/>
        </w:rPr>
        <w:t xml:space="preserve">1. </w:t>
      </w:r>
      <w:r w:rsidRPr="001B0A94">
        <w:rPr>
          <w:rFonts w:ascii="Times New Roman" w:hAnsi="Times New Roman" w:cs="Times New Roman"/>
          <w:sz w:val="22"/>
          <w:szCs w:val="22"/>
        </w:rPr>
        <w:t>Classical models (VECM/VAR) are interpretable and grounded in time-series theory.</w:t>
      </w:r>
    </w:p>
    <w:p w14:paraId="55445C1D" w14:textId="4F81E533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sz w:val="22"/>
          <w:szCs w:val="22"/>
        </w:rPr>
        <w:t xml:space="preserve">2. </w:t>
      </w:r>
      <w:r w:rsidRPr="001B0A94">
        <w:rPr>
          <w:rFonts w:ascii="Times New Roman" w:hAnsi="Times New Roman" w:cs="Times New Roman"/>
          <w:sz w:val="22"/>
          <w:szCs w:val="22"/>
        </w:rPr>
        <w:t>Transformers can exploit non-linear and long-range dependencies via attention but are less interpretable.</w:t>
      </w:r>
    </w:p>
    <w:p w14:paraId="71DCBF40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</w:rPr>
      </w:pPr>
      <w:r w:rsidRPr="00F30FD5">
        <w:rPr>
          <w:rFonts w:ascii="Times New Roman" w:hAnsi="Times New Roman" w:cs="Times New Roman"/>
          <w:b/>
          <w:bCs/>
        </w:rPr>
        <w:t>3. Data Description</w:t>
      </w:r>
    </w:p>
    <w:p w14:paraId="6DE26392" w14:textId="77777777" w:rsidR="00011553" w:rsidRPr="00011553" w:rsidRDefault="00011553" w:rsidP="000115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11553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Pr="00011553">
        <w:rPr>
          <w:rFonts w:ascii="Times New Roman" w:hAnsi="Times New Roman" w:cs="Times New Roman"/>
          <w:sz w:val="22"/>
          <w:szCs w:val="22"/>
        </w:rPr>
        <w:t>Source: FRED daily FX (DEXUSEU, DEXUSUK, DEXJPUS).</w:t>
      </w:r>
    </w:p>
    <w:p w14:paraId="2112D219" w14:textId="77777777" w:rsidR="00011553" w:rsidRPr="00011553" w:rsidRDefault="00011553" w:rsidP="000115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11553">
        <w:rPr>
          <w:rFonts w:ascii="Times New Roman" w:hAnsi="Times New Roman" w:cs="Times New Roman"/>
          <w:sz w:val="22"/>
          <w:szCs w:val="22"/>
        </w:rPr>
        <w:lastRenderedPageBreak/>
        <w:t>- Period: 1999-01-04 to 2025-12-05; Observations: 6,753 per series.</w:t>
      </w:r>
    </w:p>
    <w:p w14:paraId="6A12DEDF" w14:textId="77777777" w:rsidR="00011553" w:rsidRPr="00011553" w:rsidRDefault="00011553" w:rsidP="000115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11553">
        <w:rPr>
          <w:rFonts w:ascii="Times New Roman" w:hAnsi="Times New Roman" w:cs="Times New Roman"/>
          <w:sz w:val="22"/>
          <w:szCs w:val="22"/>
        </w:rPr>
        <w:t>- Summary stats (levels): EURUSD mean 1.183 (</w:t>
      </w:r>
      <w:proofErr w:type="spellStart"/>
      <w:r w:rsidRPr="00011553">
        <w:rPr>
          <w:rFonts w:ascii="Times New Roman" w:hAnsi="Times New Roman" w:cs="Times New Roman"/>
          <w:sz w:val="22"/>
          <w:szCs w:val="22"/>
        </w:rPr>
        <w:t>sd</w:t>
      </w:r>
      <w:proofErr w:type="spellEnd"/>
      <w:r w:rsidRPr="00011553">
        <w:rPr>
          <w:rFonts w:ascii="Times New Roman" w:hAnsi="Times New Roman" w:cs="Times New Roman"/>
          <w:sz w:val="22"/>
          <w:szCs w:val="22"/>
        </w:rPr>
        <w:t xml:space="preserve"> 0.154), GBPUSD mean 1.523 (</w:t>
      </w:r>
      <w:proofErr w:type="spellStart"/>
      <w:r w:rsidRPr="00011553">
        <w:rPr>
          <w:rFonts w:ascii="Times New Roman" w:hAnsi="Times New Roman" w:cs="Times New Roman"/>
          <w:sz w:val="22"/>
          <w:szCs w:val="22"/>
        </w:rPr>
        <w:t>sd</w:t>
      </w:r>
      <w:proofErr w:type="spellEnd"/>
      <w:r w:rsidRPr="00011553">
        <w:rPr>
          <w:rFonts w:ascii="Times New Roman" w:hAnsi="Times New Roman" w:cs="Times New Roman"/>
          <w:sz w:val="22"/>
          <w:szCs w:val="22"/>
        </w:rPr>
        <w:t xml:space="preserve"> 0.220), USDJPY mean 112.289 (</w:t>
      </w:r>
      <w:proofErr w:type="spellStart"/>
      <w:r w:rsidRPr="00011553">
        <w:rPr>
          <w:rFonts w:ascii="Times New Roman" w:hAnsi="Times New Roman" w:cs="Times New Roman"/>
          <w:sz w:val="22"/>
          <w:szCs w:val="22"/>
        </w:rPr>
        <w:t>sd</w:t>
      </w:r>
      <w:proofErr w:type="spellEnd"/>
      <w:r w:rsidRPr="00011553">
        <w:rPr>
          <w:rFonts w:ascii="Times New Roman" w:hAnsi="Times New Roman" w:cs="Times New Roman"/>
          <w:sz w:val="22"/>
          <w:szCs w:val="22"/>
        </w:rPr>
        <w:t xml:space="preserve"> 17.651); no missing values.</w:t>
      </w:r>
    </w:p>
    <w:p w14:paraId="70FD1063" w14:textId="77777777" w:rsidR="00011553" w:rsidRPr="00011553" w:rsidRDefault="00011553" w:rsidP="000115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11553">
        <w:rPr>
          <w:rFonts w:ascii="Times New Roman" w:hAnsi="Times New Roman" w:cs="Times New Roman"/>
          <w:sz w:val="22"/>
          <w:szCs w:val="22"/>
        </w:rPr>
        <w:t>- Correlations (levels): EUR/USD–GBP/USD 0.587; EUR/USD–USD/JPY -0.552; GBP/USD–USD/JPY -0.352 (European pairs move together; USDJPY often moves inversely).</w:t>
      </w:r>
    </w:p>
    <w:p w14:paraId="103F1F57" w14:textId="042627AC" w:rsidR="00011553" w:rsidRPr="00011553" w:rsidRDefault="00011553" w:rsidP="0001155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11553">
        <w:rPr>
          <w:rFonts w:ascii="Times New Roman" w:hAnsi="Times New Roman" w:cs="Times New Roman"/>
          <w:sz w:val="22"/>
          <w:szCs w:val="22"/>
        </w:rPr>
        <w:t>- Stationarity: ADF fails to reject a unit root; KPSS rejects stationarity for all series → all I(1). Johansen test gives rank 0 → no cointegration.</w:t>
      </w:r>
    </w:p>
    <w:p w14:paraId="6CFFF834" w14:textId="354B72BF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30FD5">
        <w:rPr>
          <w:rFonts w:ascii="Times New Roman" w:hAnsi="Times New Roman" w:cs="Times New Roman"/>
          <w:b/>
          <w:bCs/>
          <w:sz w:val="22"/>
          <w:szCs w:val="22"/>
        </w:rPr>
        <w:t>Cointegration Tests (Johansen):</w:t>
      </w:r>
      <w:r w:rsidR="00011553" w:rsidRPr="005D58F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30FD5">
        <w:rPr>
          <w:rFonts w:ascii="Times New Roman" w:hAnsi="Times New Roman" w:cs="Times New Roman"/>
          <w:b/>
          <w:bCs/>
          <w:sz w:val="22"/>
          <w:szCs w:val="22"/>
        </w:rPr>
        <w:t>Trace stats:</w:t>
      </w:r>
      <w:r w:rsidRPr="00F30FD5">
        <w:rPr>
          <w:rFonts w:ascii="Times New Roman" w:hAnsi="Times New Roman" w:cs="Times New Roman"/>
          <w:sz w:val="22"/>
          <w:szCs w:val="22"/>
        </w:rPr>
        <w:t xml:space="preserve"> [8.63, 3.72, 0.71] vs 5% CV [29.80, 15.49, 3.84]</w:t>
      </w:r>
      <w:r w:rsidRPr="00F30FD5">
        <w:rPr>
          <w:rFonts w:ascii="Times New Roman" w:hAnsi="Times New Roman" w:cs="Times New Roman"/>
          <w:b/>
          <w:bCs/>
          <w:sz w:val="22"/>
          <w:szCs w:val="22"/>
        </w:rPr>
        <w:t>; Max-eigen stats</w:t>
      </w:r>
      <w:r w:rsidRPr="00F30FD5">
        <w:rPr>
          <w:rFonts w:ascii="Times New Roman" w:hAnsi="Times New Roman" w:cs="Times New Roman"/>
          <w:sz w:val="22"/>
          <w:szCs w:val="22"/>
        </w:rPr>
        <w:t>: [4.91, 3.01, 0.71] vs 5% CV [21.13, 14.26, 3.84]; Cointegration rank: 0 (no cointegration detected).</w:t>
      </w:r>
    </w:p>
    <w:p w14:paraId="2AE3F419" w14:textId="77777777" w:rsidR="00BE28B1" w:rsidRPr="005D58FA" w:rsidRDefault="00BE28B1" w:rsidP="00F30FD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C58C48" w14:textId="4542B343" w:rsidR="00F30FD5" w:rsidRPr="00F30FD5" w:rsidRDefault="00F30FD5" w:rsidP="00F30FD5">
      <w:pPr>
        <w:spacing w:line="240" w:lineRule="auto"/>
        <w:rPr>
          <w:rFonts w:ascii="Times New Roman" w:hAnsi="Times New Roman" w:cs="Times New Roman"/>
        </w:rPr>
      </w:pPr>
      <w:r w:rsidRPr="005D58FA">
        <w:rPr>
          <w:rFonts w:ascii="Times New Roman" w:hAnsi="Times New Roman" w:cs="Times New Roman"/>
          <w:b/>
          <w:bCs/>
        </w:rPr>
        <w:t xml:space="preserve">4. </w:t>
      </w:r>
      <w:r w:rsidRPr="00F30FD5">
        <w:rPr>
          <w:rFonts w:ascii="Times New Roman" w:hAnsi="Times New Roman" w:cs="Times New Roman"/>
          <w:b/>
          <w:bCs/>
        </w:rPr>
        <w:t>Model Methodology</w:t>
      </w:r>
    </w:p>
    <w:p w14:paraId="2DB43BB0" w14:textId="13056BAE" w:rsidR="00F30FD5" w:rsidRPr="005D58FA" w:rsidRDefault="00F30FD5" w:rsidP="00F30FD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30FD5">
        <w:rPr>
          <w:rFonts w:ascii="Times New Roman" w:hAnsi="Times New Roman" w:cs="Times New Roman"/>
          <w:b/>
          <w:bCs/>
          <w:sz w:val="22"/>
          <w:szCs w:val="22"/>
        </w:rPr>
        <w:t>Classical Model: VECM / VAR in Differences</w:t>
      </w:r>
    </w:p>
    <w:p w14:paraId="442CC33E" w14:textId="4045D99F" w:rsidR="00ED63BD" w:rsidRPr="00F30FD5" w:rsidRDefault="00ED63BD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2BA7F27" wp14:editId="57897F3E">
            <wp:extent cx="4846320" cy="2672854"/>
            <wp:effectExtent l="0" t="0" r="0" b="0"/>
            <wp:docPr id="1109323046" name="Picture 1" descr="A math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23046" name="Picture 1" descr="A math equation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4665" cy="26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8B8D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 xml:space="preserve">- Johansen rank 0 </w:t>
      </w:r>
      <w:r w:rsidRPr="00F30FD5">
        <w:rPr>
          <w:rFonts w:ascii="Cambria Math" w:hAnsi="Cambria Math" w:cs="Cambria Math"/>
          <w:sz w:val="22"/>
          <w:szCs w:val="22"/>
        </w:rPr>
        <w:t>⇒</w:t>
      </w:r>
      <w:r w:rsidRPr="00F30FD5">
        <w:rPr>
          <w:rFonts w:ascii="Times New Roman" w:hAnsi="Times New Roman" w:cs="Times New Roman"/>
          <w:sz w:val="22"/>
          <w:szCs w:val="22"/>
        </w:rPr>
        <w:t xml:space="preserve"> no cointegrating vectors β, no adjustment coefficients α.</w:t>
      </w:r>
    </w:p>
    <w:p w14:paraId="3D909E67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>- With rank 0 and lag 1, the VECM reduces to a VAR(1) in first differences with a constant (deterministic = ‘co’).</w:t>
      </w:r>
    </w:p>
    <w:p w14:paraId="7019AAC2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>- Interpretation: captures short-run dynamics of ΔFX but imposes no long-run equilibrium structure.</w:t>
      </w:r>
    </w:p>
    <w:p w14:paraId="04201068" w14:textId="756CBD3F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b/>
          <w:bCs/>
          <w:sz w:val="22"/>
          <w:szCs w:val="22"/>
        </w:rPr>
        <w:t>Machine Learning Model: Transformer</w:t>
      </w:r>
    </w:p>
    <w:p w14:paraId="5D222B77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 xml:space="preserve">- Inputs: 3-dimensional FX vector (EURUSD, GBPUSD, USDJPY), normalized via </w:t>
      </w:r>
      <w:proofErr w:type="spellStart"/>
      <w:r w:rsidRPr="00F30FD5">
        <w:rPr>
          <w:rFonts w:ascii="Times New Roman" w:hAnsi="Times New Roman" w:cs="Times New Roman"/>
          <w:sz w:val="22"/>
          <w:szCs w:val="22"/>
        </w:rPr>
        <w:t>MinMax</w:t>
      </w:r>
      <w:proofErr w:type="spellEnd"/>
      <w:r w:rsidRPr="00F30FD5">
        <w:rPr>
          <w:rFonts w:ascii="Times New Roman" w:hAnsi="Times New Roman" w:cs="Times New Roman"/>
          <w:sz w:val="22"/>
          <w:szCs w:val="22"/>
        </w:rPr>
        <w:t>.</w:t>
      </w:r>
    </w:p>
    <w:p w14:paraId="02EA4B3A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>- Window/horizon: 30-day lookback, 1-day ahead forecast.</w:t>
      </w:r>
    </w:p>
    <w:p w14:paraId="71549F1F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 xml:space="preserve">- Architecture: </w:t>
      </w:r>
      <w:proofErr w:type="spellStart"/>
      <w:r w:rsidRPr="00F30FD5">
        <w:rPr>
          <w:rFonts w:ascii="Times New Roman" w:hAnsi="Times New Roman" w:cs="Times New Roman"/>
          <w:sz w:val="22"/>
          <w:szCs w:val="22"/>
        </w:rPr>
        <w:t>d_model</w:t>
      </w:r>
      <w:proofErr w:type="spellEnd"/>
      <w:r w:rsidRPr="00F30FD5">
        <w:rPr>
          <w:rFonts w:ascii="Times New Roman" w:hAnsi="Times New Roman" w:cs="Times New Roman"/>
          <w:sz w:val="22"/>
          <w:szCs w:val="22"/>
        </w:rPr>
        <w:t xml:space="preserve"> 64, 4 attention heads, 2 encoder layers, feedforward size 128, dropout 0.1 (~67k trainable parameters).</w:t>
      </w:r>
    </w:p>
    <w:p w14:paraId="56696B2A" w14:textId="77777777" w:rsidR="00F30FD5" w:rsidRPr="00F30FD5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t>- Training: 80/10/10 split (train/validation/test); Adam optimizer, MSE loss, early stopping at epoch 32 (best validation loss ≈ 0.000070; final train loss ≈ 0.000142).</w:t>
      </w:r>
    </w:p>
    <w:p w14:paraId="25410140" w14:textId="77777777" w:rsidR="00F30FD5" w:rsidRPr="005D58FA" w:rsidRDefault="00F30FD5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30FD5">
        <w:rPr>
          <w:rFonts w:ascii="Times New Roman" w:hAnsi="Times New Roman" w:cs="Times New Roman"/>
          <w:sz w:val="22"/>
          <w:szCs w:val="22"/>
        </w:rPr>
        <w:lastRenderedPageBreak/>
        <w:t>- Interpretation: multi-head self-attention lets the model reweight past days when constructing forecasts.</w:t>
      </w:r>
    </w:p>
    <w:p w14:paraId="39E23035" w14:textId="7D6A09EE" w:rsidR="00ED63BD" w:rsidRPr="005D58FA" w:rsidRDefault="00ED63BD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noProof/>
        </w:rPr>
        <w:drawing>
          <wp:inline distT="0" distB="0" distL="0" distR="0" wp14:anchorId="12CDBDD2" wp14:editId="15F3240B">
            <wp:extent cx="6578982" cy="2708910"/>
            <wp:effectExtent l="0" t="0" r="0" b="0"/>
            <wp:docPr id="900046191" name="Picture 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6191" name="Picture 4" descr="A graph of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144" cy="27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EB39" w14:textId="77777777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A94">
        <w:rPr>
          <w:rFonts w:ascii="Times New Roman" w:hAnsi="Times New Roman" w:cs="Times New Roman"/>
          <w:b/>
          <w:bCs/>
          <w:sz w:val="22"/>
          <w:szCs w:val="22"/>
        </w:rPr>
        <w:t xml:space="preserve">Method Selection </w:t>
      </w:r>
    </w:p>
    <w:p w14:paraId="3D82C75E" w14:textId="77777777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A94">
        <w:rPr>
          <w:rFonts w:ascii="Times New Roman" w:hAnsi="Times New Roman" w:cs="Times New Roman"/>
          <w:sz w:val="22"/>
          <w:szCs w:val="22"/>
        </w:rPr>
        <w:t xml:space="preserve">We choose a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VECM/VAR-type classical model</w:t>
      </w:r>
      <w:r w:rsidRPr="001B0A94">
        <w:rPr>
          <w:rFonts w:ascii="Times New Roman" w:hAnsi="Times New Roman" w:cs="Times New Roman"/>
          <w:sz w:val="22"/>
          <w:szCs w:val="22"/>
        </w:rPr>
        <w:t xml:space="preserve"> and a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Transformer</w:t>
      </w:r>
      <w:r w:rsidRPr="001B0A94">
        <w:rPr>
          <w:rFonts w:ascii="Times New Roman" w:hAnsi="Times New Roman" w:cs="Times New Roman"/>
          <w:sz w:val="22"/>
          <w:szCs w:val="22"/>
        </w:rPr>
        <w:t xml:space="preserve"> as our two methods because they represent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two ends of the spectrum</w:t>
      </w:r>
      <w:r w:rsidRPr="001B0A94">
        <w:rPr>
          <w:rFonts w:ascii="Times New Roman" w:hAnsi="Times New Roman" w:cs="Times New Roman"/>
          <w:sz w:val="22"/>
          <w:szCs w:val="22"/>
        </w:rPr>
        <w:t xml:space="preserve"> emphasized in the course:  </w:t>
      </w:r>
    </w:p>
    <w:p w14:paraId="5D273CEF" w14:textId="77777777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A94">
        <w:rPr>
          <w:rFonts w:ascii="Times New Roman" w:hAnsi="Times New Roman" w:cs="Times New Roman"/>
          <w:b/>
          <w:bCs/>
          <w:sz w:val="22"/>
          <w:szCs w:val="22"/>
        </w:rPr>
        <w:t>VECM/VAR</w:t>
      </w:r>
      <w:r w:rsidRPr="001B0A94">
        <w:rPr>
          <w:rFonts w:ascii="Times New Roman" w:hAnsi="Times New Roman" w:cs="Times New Roman"/>
          <w:sz w:val="22"/>
          <w:szCs w:val="22"/>
        </w:rPr>
        <w:t xml:space="preserve"> is the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canonical multivariate econometric model</w:t>
      </w:r>
      <w:r w:rsidRPr="001B0A94">
        <w:rPr>
          <w:rFonts w:ascii="Times New Roman" w:hAnsi="Times New Roman" w:cs="Times New Roman"/>
          <w:sz w:val="22"/>
          <w:szCs w:val="22"/>
        </w:rPr>
        <w:t xml:space="preserve"> for macro/FX series, designed for joint dynamics, cointegration testing, and economic interpretation. It is superior to univariate ARIMA-type models for this problem because it explicitly models cross</w:t>
      </w:r>
      <w:r w:rsidRPr="001B0A94">
        <w:rPr>
          <w:rFonts w:ascii="Times New Roman" w:hAnsi="Times New Roman" w:cs="Times New Roman"/>
          <w:sz w:val="22"/>
          <w:szCs w:val="22"/>
        </w:rPr>
        <w:noBreakHyphen/>
        <w:t>currency interactions and, when cointegration exists, long</w:t>
      </w:r>
      <w:r w:rsidRPr="001B0A94">
        <w:rPr>
          <w:rFonts w:ascii="Times New Roman" w:hAnsi="Times New Roman" w:cs="Times New Roman"/>
          <w:sz w:val="22"/>
          <w:szCs w:val="22"/>
        </w:rPr>
        <w:noBreakHyphen/>
        <w:t>run equilibrium relationships.  </w:t>
      </w:r>
    </w:p>
    <w:p w14:paraId="45598A38" w14:textId="77777777" w:rsidR="001B0A94" w:rsidRPr="001B0A94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A94">
        <w:rPr>
          <w:rFonts w:ascii="Times New Roman" w:hAnsi="Times New Roman" w:cs="Times New Roman"/>
          <w:sz w:val="22"/>
          <w:szCs w:val="22"/>
        </w:rPr>
        <w:t xml:space="preserve">The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Transformer</w:t>
      </w:r>
      <w:r w:rsidRPr="001B0A94">
        <w:rPr>
          <w:rFonts w:ascii="Times New Roman" w:hAnsi="Times New Roman" w:cs="Times New Roman"/>
          <w:sz w:val="22"/>
          <w:szCs w:val="22"/>
        </w:rPr>
        <w:t xml:space="preserve"> is a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modern attention-based deep learning model</w:t>
      </w:r>
      <w:r w:rsidRPr="001B0A94">
        <w:rPr>
          <w:rFonts w:ascii="Times New Roman" w:hAnsi="Times New Roman" w:cs="Times New Roman"/>
          <w:sz w:val="22"/>
          <w:szCs w:val="22"/>
        </w:rPr>
        <w:t xml:space="preserve"> highlighted in the </w:t>
      </w:r>
      <w:r w:rsidRPr="001B0A94">
        <w:rPr>
          <w:rFonts w:ascii="Times New Roman" w:hAnsi="Times New Roman" w:cs="Times New Roman"/>
          <w:i/>
          <w:iCs/>
          <w:sz w:val="22"/>
          <w:szCs w:val="22"/>
        </w:rPr>
        <w:t>*Long Short-Term Memory Networks*</w:t>
      </w:r>
      <w:r w:rsidRPr="001B0A94">
        <w:rPr>
          <w:rFonts w:ascii="Times New Roman" w:hAnsi="Times New Roman" w:cs="Times New Roman"/>
          <w:sz w:val="22"/>
          <w:szCs w:val="22"/>
        </w:rPr>
        <w:t xml:space="preserve"> notes as an evolution beyond RNN/LSTM architectures. It is better suited than simpler ML models (e.g., vanilla RNNs, feed</w:t>
      </w:r>
      <w:r w:rsidRPr="001B0A94">
        <w:rPr>
          <w:rFonts w:ascii="Times New Roman" w:hAnsi="Times New Roman" w:cs="Times New Roman"/>
          <w:sz w:val="22"/>
          <w:szCs w:val="22"/>
        </w:rPr>
        <w:noBreakHyphen/>
        <w:t xml:space="preserve">forward nets, tree models) to capture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non-linear, long-range temporal dependencies</w:t>
      </w:r>
      <w:r w:rsidRPr="001B0A94">
        <w:rPr>
          <w:rFonts w:ascii="Times New Roman" w:hAnsi="Times New Roman" w:cs="Times New Roman"/>
          <w:sz w:val="22"/>
          <w:szCs w:val="22"/>
        </w:rPr>
        <w:t xml:space="preserve"> in multivariate sequences without heavy manual feature engineering.</w:t>
      </w:r>
    </w:p>
    <w:p w14:paraId="171867AE" w14:textId="77777777" w:rsidR="001B0A94" w:rsidRPr="005D58FA" w:rsidRDefault="001B0A94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B0A94">
        <w:rPr>
          <w:rFonts w:ascii="Times New Roman" w:hAnsi="Times New Roman" w:cs="Times New Roman"/>
          <w:sz w:val="22"/>
          <w:szCs w:val="22"/>
        </w:rPr>
        <w:t>Compared to other classical options (DFM, state</w:t>
      </w:r>
      <w:r w:rsidRPr="001B0A94">
        <w:rPr>
          <w:rFonts w:ascii="Times New Roman" w:hAnsi="Times New Roman" w:cs="Times New Roman"/>
          <w:sz w:val="22"/>
          <w:szCs w:val="22"/>
        </w:rPr>
        <w:noBreakHyphen/>
        <w:t xml:space="preserve">space/Kalman, multivariate GARCH), VECM/VAR offers a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>simpler, standard benchmark</w:t>
      </w:r>
      <w:r w:rsidRPr="001B0A94">
        <w:rPr>
          <w:rFonts w:ascii="Times New Roman" w:hAnsi="Times New Roman" w:cs="Times New Roman"/>
          <w:sz w:val="22"/>
          <w:szCs w:val="22"/>
        </w:rPr>
        <w:t xml:space="preserve"> for level forecasts with clear links to the course, while avoiding the extra complexity of latent-factor or volatility models that are more natural for very high-dimensional or volatility-focused tasks. Compared to other ML options (LSTM/GRU, TCN), the Transformer provides a </w:t>
      </w:r>
      <w:r w:rsidRPr="001B0A94">
        <w:rPr>
          <w:rFonts w:ascii="Times New Roman" w:hAnsi="Times New Roman" w:cs="Times New Roman"/>
          <w:b/>
          <w:bCs/>
          <w:sz w:val="22"/>
          <w:szCs w:val="22"/>
        </w:rPr>
        <w:t xml:space="preserve">clean contrast </w:t>
      </w:r>
      <w:r w:rsidRPr="001B0A94">
        <w:rPr>
          <w:rFonts w:ascii="Times New Roman" w:hAnsi="Times New Roman" w:cs="Times New Roman"/>
          <w:sz w:val="22"/>
          <w:szCs w:val="22"/>
        </w:rPr>
        <w:t>to the linear VAR: it replaces recurrence with attention, is explicitly motivated in the notes, and empirically delivers much stronger accuracy, making the trade</w:t>
      </w:r>
      <w:r w:rsidRPr="001B0A94">
        <w:rPr>
          <w:rFonts w:ascii="Times New Roman" w:hAnsi="Times New Roman" w:cs="Times New Roman"/>
          <w:sz w:val="22"/>
          <w:szCs w:val="22"/>
        </w:rPr>
        <w:noBreakHyphen/>
        <w:t>off between interpretability and performance very clear for this assignment.</w:t>
      </w:r>
    </w:p>
    <w:p w14:paraId="1399D1CB" w14:textId="77777777" w:rsidR="007D0D16" w:rsidRPr="005D58FA" w:rsidRDefault="007D0D16" w:rsidP="001B0A94">
      <w:pPr>
        <w:spacing w:line="240" w:lineRule="auto"/>
        <w:rPr>
          <w:rFonts w:ascii="Times New Roman" w:hAnsi="Times New Roman" w:cs="Times New Roman"/>
        </w:rPr>
      </w:pPr>
    </w:p>
    <w:p w14:paraId="5A76C44A" w14:textId="77777777" w:rsidR="009A3B10" w:rsidRPr="009A3B10" w:rsidRDefault="009A3B10" w:rsidP="009A3B10">
      <w:pPr>
        <w:spacing w:line="240" w:lineRule="auto"/>
        <w:rPr>
          <w:rFonts w:ascii="Times New Roman" w:hAnsi="Times New Roman" w:cs="Times New Roman"/>
        </w:rPr>
      </w:pPr>
      <w:r w:rsidRPr="009A3B10">
        <w:rPr>
          <w:rFonts w:ascii="Times New Roman" w:hAnsi="Times New Roman" w:cs="Times New Roman"/>
          <w:b/>
          <w:bCs/>
        </w:rPr>
        <w:t>5. Comparative Empirical Results</w:t>
      </w:r>
    </w:p>
    <w:p w14:paraId="751D9FF8" w14:textId="5B78224C" w:rsidR="009A3B10" w:rsidRPr="009A3B10" w:rsidRDefault="009A3B10" w:rsidP="009A3B1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A3B10">
        <w:rPr>
          <w:rFonts w:ascii="Times New Roman" w:hAnsi="Times New Roman" w:cs="Times New Roman"/>
          <w:b/>
          <w:bCs/>
          <w:sz w:val="22"/>
          <w:szCs w:val="22"/>
        </w:rPr>
        <w:t>5.1 Forecast Accuracy Comparison</w:t>
      </w:r>
    </w:p>
    <w:p w14:paraId="2C8C5182" w14:textId="29442C47" w:rsidR="009A3B10" w:rsidRPr="005D58FA" w:rsidRDefault="009A3B10" w:rsidP="001B0A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A3B10">
        <w:rPr>
          <w:rFonts w:ascii="Times New Roman" w:hAnsi="Times New Roman" w:cs="Times New Roman"/>
          <w:b/>
          <w:bCs/>
          <w:sz w:val="22"/>
          <w:szCs w:val="22"/>
        </w:rPr>
        <w:t>Table: Forecast Accuracy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12BAC" w:rsidRPr="005D58FA" w14:paraId="601FA271" w14:textId="77777777" w:rsidTr="00412BAC">
        <w:tc>
          <w:tcPr>
            <w:tcW w:w="1870" w:type="dxa"/>
          </w:tcPr>
          <w:p w14:paraId="6E096E5C" w14:textId="77777777" w:rsidR="00412BAC" w:rsidRPr="00412BAC" w:rsidRDefault="00412BAC" w:rsidP="00412BA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2B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Exchange Rate</w:t>
            </w:r>
          </w:p>
          <w:p w14:paraId="4F3A2530" w14:textId="77777777" w:rsidR="00412BAC" w:rsidRPr="005D58FA" w:rsidRDefault="00412BAC" w:rsidP="001B0A9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</w:tcPr>
          <w:p w14:paraId="22D6A0D0" w14:textId="77777777" w:rsidR="00412BAC" w:rsidRPr="00412BAC" w:rsidRDefault="00412BAC" w:rsidP="00412BA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2B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Model</w:t>
            </w:r>
          </w:p>
          <w:p w14:paraId="04B1741D" w14:textId="77777777" w:rsidR="00412BAC" w:rsidRPr="005D58FA" w:rsidRDefault="00412BAC" w:rsidP="001B0A9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</w:tcPr>
          <w:p w14:paraId="24A37D94" w14:textId="77777777" w:rsidR="00CD01BF" w:rsidRPr="00CD01BF" w:rsidRDefault="00CD01BF" w:rsidP="00CD01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RMSE </w:t>
            </w:r>
          </w:p>
          <w:p w14:paraId="26C02F90" w14:textId="77777777" w:rsidR="00412BAC" w:rsidRPr="005D58FA" w:rsidRDefault="00412BAC" w:rsidP="001B0A9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</w:tcPr>
          <w:p w14:paraId="1D774F25" w14:textId="77777777" w:rsidR="00CD01BF" w:rsidRPr="00CD01BF" w:rsidRDefault="00CD01BF" w:rsidP="00CD01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MAE </w:t>
            </w:r>
          </w:p>
          <w:p w14:paraId="35ED758A" w14:textId="77777777" w:rsidR="00412BAC" w:rsidRPr="005D58FA" w:rsidRDefault="00412BAC" w:rsidP="001B0A9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</w:tcPr>
          <w:p w14:paraId="100A477A" w14:textId="77777777" w:rsidR="00CD01BF" w:rsidRPr="00CD01BF" w:rsidRDefault="00CD01BF" w:rsidP="00CD01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MAPE (%)</w:t>
            </w:r>
          </w:p>
          <w:p w14:paraId="71C2FAE2" w14:textId="77777777" w:rsidR="00412BAC" w:rsidRPr="005D58FA" w:rsidRDefault="00412BAC" w:rsidP="001B0A9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9A3B10" w:rsidRPr="005D58FA" w14:paraId="2D7E491A" w14:textId="77777777" w:rsidTr="00412BAC">
        <w:tc>
          <w:tcPr>
            <w:tcW w:w="1870" w:type="dxa"/>
            <w:vMerge w:val="restart"/>
          </w:tcPr>
          <w:p w14:paraId="30390CE0" w14:textId="77777777" w:rsidR="009A3B10" w:rsidRPr="00CD01BF" w:rsidRDefault="009A3B10" w:rsidP="00CD01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EURUSD </w:t>
            </w:r>
          </w:p>
          <w:p w14:paraId="38A7AA15" w14:textId="7777777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98CEE82" w14:textId="77777777" w:rsidR="009A3B10" w:rsidRPr="00CD01BF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VECM</w:t>
            </w:r>
          </w:p>
          <w:p w14:paraId="1334CA16" w14:textId="7777777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0F4C7A97" w14:textId="671B3FF7" w:rsidR="009A3B10" w:rsidRPr="00CD01BF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0.060506  </w:t>
            </w:r>
          </w:p>
          <w:p w14:paraId="6B397B64" w14:textId="7777777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73F9D86" w14:textId="59A52005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0.052286</w:t>
            </w:r>
          </w:p>
        </w:tc>
        <w:tc>
          <w:tcPr>
            <w:tcW w:w="1870" w:type="dxa"/>
          </w:tcPr>
          <w:p w14:paraId="7E8ACA42" w14:textId="5BE94FE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4.78</w:t>
            </w:r>
          </w:p>
        </w:tc>
      </w:tr>
      <w:tr w:rsidR="009A3B10" w:rsidRPr="005D58FA" w14:paraId="692072DF" w14:textId="77777777" w:rsidTr="00CD01BF">
        <w:trPr>
          <w:trHeight w:val="215"/>
        </w:trPr>
        <w:tc>
          <w:tcPr>
            <w:tcW w:w="1870" w:type="dxa"/>
            <w:vMerge/>
          </w:tcPr>
          <w:p w14:paraId="17C570FF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10571D3" w14:textId="77777777" w:rsidR="009A3B10" w:rsidRPr="00CD01BF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Transformer</w:t>
            </w:r>
          </w:p>
          <w:p w14:paraId="0C8CAB46" w14:textId="7777777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657FB59" w14:textId="133D246C" w:rsidR="009A3B10" w:rsidRPr="00CD01BF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0.014088  </w:t>
            </w:r>
          </w:p>
          <w:p w14:paraId="0B935E98" w14:textId="7777777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FA0AF9B" w14:textId="3E92ED49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0.011520</w:t>
            </w:r>
          </w:p>
        </w:tc>
        <w:tc>
          <w:tcPr>
            <w:tcW w:w="1870" w:type="dxa"/>
          </w:tcPr>
          <w:p w14:paraId="427DA49A" w14:textId="3046D279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1.05</w:t>
            </w:r>
          </w:p>
        </w:tc>
      </w:tr>
      <w:tr w:rsidR="009A3B10" w:rsidRPr="005D58FA" w14:paraId="26B38153" w14:textId="77777777" w:rsidTr="00412BAC">
        <w:tc>
          <w:tcPr>
            <w:tcW w:w="1870" w:type="dxa"/>
            <w:vMerge/>
          </w:tcPr>
          <w:p w14:paraId="2F157745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37D180A" w14:textId="77777777" w:rsidR="009A3B10" w:rsidRPr="00CD01BF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Improvement</w:t>
            </w:r>
          </w:p>
          <w:p w14:paraId="658D54D3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9FC1CC8" w14:textId="173DAAD2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76.7%</w:t>
            </w:r>
          </w:p>
        </w:tc>
        <w:tc>
          <w:tcPr>
            <w:tcW w:w="1870" w:type="dxa"/>
          </w:tcPr>
          <w:p w14:paraId="57E927B4" w14:textId="33CC0781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78.0%</w:t>
            </w:r>
          </w:p>
        </w:tc>
        <w:tc>
          <w:tcPr>
            <w:tcW w:w="1870" w:type="dxa"/>
          </w:tcPr>
          <w:p w14:paraId="26A518C2" w14:textId="662B65CE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78.0%</w:t>
            </w:r>
          </w:p>
        </w:tc>
      </w:tr>
      <w:tr w:rsidR="009A3B10" w:rsidRPr="005D58FA" w14:paraId="25090E94" w14:textId="77777777" w:rsidTr="00412BAC">
        <w:tc>
          <w:tcPr>
            <w:tcW w:w="1870" w:type="dxa"/>
            <w:vMerge w:val="restart"/>
          </w:tcPr>
          <w:p w14:paraId="4DD6D979" w14:textId="77777777" w:rsidR="009A3B10" w:rsidRPr="00CD01BF" w:rsidRDefault="009A3B10" w:rsidP="00CD01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GBPUSD</w:t>
            </w:r>
          </w:p>
          <w:p w14:paraId="60C73F7D" w14:textId="77777777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6DB7E78" w14:textId="401C5B4D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VECM  </w:t>
            </w:r>
          </w:p>
        </w:tc>
        <w:tc>
          <w:tcPr>
            <w:tcW w:w="1870" w:type="dxa"/>
          </w:tcPr>
          <w:p w14:paraId="3D8F9630" w14:textId="123ACFF5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0.104793  </w:t>
            </w:r>
          </w:p>
        </w:tc>
        <w:tc>
          <w:tcPr>
            <w:tcW w:w="1870" w:type="dxa"/>
          </w:tcPr>
          <w:p w14:paraId="48818C0C" w14:textId="38AAD6FB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0.090729</w:t>
            </w:r>
          </w:p>
        </w:tc>
        <w:tc>
          <w:tcPr>
            <w:tcW w:w="1870" w:type="dxa"/>
          </w:tcPr>
          <w:p w14:paraId="2CE695AE" w14:textId="39F4FC74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6.89    </w:t>
            </w:r>
          </w:p>
        </w:tc>
      </w:tr>
      <w:tr w:rsidR="009A3B10" w:rsidRPr="005D58FA" w14:paraId="2AFFCB52" w14:textId="77777777" w:rsidTr="00412BAC">
        <w:tc>
          <w:tcPr>
            <w:tcW w:w="1870" w:type="dxa"/>
            <w:vMerge/>
          </w:tcPr>
          <w:p w14:paraId="74FC6C52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2D48638" w14:textId="5BA4CC3B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Transformer</w:t>
            </w:r>
          </w:p>
        </w:tc>
        <w:tc>
          <w:tcPr>
            <w:tcW w:w="1870" w:type="dxa"/>
          </w:tcPr>
          <w:p w14:paraId="7E2DD2B4" w14:textId="60D5B802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0.010672</w:t>
            </w:r>
          </w:p>
        </w:tc>
        <w:tc>
          <w:tcPr>
            <w:tcW w:w="1870" w:type="dxa"/>
          </w:tcPr>
          <w:p w14:paraId="3EF944B8" w14:textId="2BD3DA50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0.012868  </w:t>
            </w:r>
          </w:p>
        </w:tc>
        <w:tc>
          <w:tcPr>
            <w:tcW w:w="1870" w:type="dxa"/>
          </w:tcPr>
          <w:p w14:paraId="7BCE0E19" w14:textId="74F22EDE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0.84    </w:t>
            </w:r>
          </w:p>
        </w:tc>
      </w:tr>
      <w:tr w:rsidR="009A3B10" w:rsidRPr="005D58FA" w14:paraId="35426375" w14:textId="77777777" w:rsidTr="00412BAC">
        <w:tc>
          <w:tcPr>
            <w:tcW w:w="1870" w:type="dxa"/>
            <w:vMerge/>
          </w:tcPr>
          <w:p w14:paraId="560BDDA5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042DD15" w14:textId="5CCAD70D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Improvement</w:t>
            </w:r>
          </w:p>
        </w:tc>
        <w:tc>
          <w:tcPr>
            <w:tcW w:w="1870" w:type="dxa"/>
          </w:tcPr>
          <w:p w14:paraId="402835D0" w14:textId="30EE2850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87.7%</w:t>
            </w:r>
          </w:p>
        </w:tc>
        <w:tc>
          <w:tcPr>
            <w:tcW w:w="1870" w:type="dxa"/>
          </w:tcPr>
          <w:p w14:paraId="61A53577" w14:textId="078952EB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88.2%</w:t>
            </w:r>
          </w:p>
        </w:tc>
        <w:tc>
          <w:tcPr>
            <w:tcW w:w="1870" w:type="dxa"/>
          </w:tcPr>
          <w:p w14:paraId="1A010C52" w14:textId="3E9F5FFE" w:rsidR="009A3B10" w:rsidRPr="005D58FA" w:rsidRDefault="009A3B10" w:rsidP="001B0A9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87.8%</w:t>
            </w:r>
          </w:p>
        </w:tc>
      </w:tr>
      <w:tr w:rsidR="009A3B10" w:rsidRPr="005D58FA" w14:paraId="2B723899" w14:textId="77777777" w:rsidTr="00412BAC">
        <w:tc>
          <w:tcPr>
            <w:tcW w:w="1870" w:type="dxa"/>
            <w:vMerge w:val="restart"/>
          </w:tcPr>
          <w:p w14:paraId="176075F0" w14:textId="77777777" w:rsidR="009A3B10" w:rsidRPr="00CD01BF" w:rsidRDefault="009A3B10" w:rsidP="00CD01B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USDJPY </w:t>
            </w:r>
          </w:p>
          <w:p w14:paraId="6780F97D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9F01350" w14:textId="0666974A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VECM  </w:t>
            </w:r>
          </w:p>
        </w:tc>
        <w:tc>
          <w:tcPr>
            <w:tcW w:w="1870" w:type="dxa"/>
          </w:tcPr>
          <w:p w14:paraId="6A21DB45" w14:textId="2E2F68D6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32.303681</w:t>
            </w:r>
          </w:p>
        </w:tc>
        <w:tc>
          <w:tcPr>
            <w:tcW w:w="1870" w:type="dxa"/>
          </w:tcPr>
          <w:p w14:paraId="2FE5E5E5" w14:textId="26A6E758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27.193325</w:t>
            </w:r>
          </w:p>
        </w:tc>
        <w:tc>
          <w:tcPr>
            <w:tcW w:w="1870" w:type="dxa"/>
          </w:tcPr>
          <w:p w14:paraId="15C09CCA" w14:textId="77777777" w:rsidR="009A3B10" w:rsidRPr="009A3B10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18.86</w:t>
            </w:r>
          </w:p>
          <w:p w14:paraId="21B15763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A3B10" w:rsidRPr="005D58FA" w14:paraId="0F933F51" w14:textId="77777777" w:rsidTr="00412BAC">
        <w:tc>
          <w:tcPr>
            <w:tcW w:w="1870" w:type="dxa"/>
            <w:vMerge/>
          </w:tcPr>
          <w:p w14:paraId="4589812D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472D635B" w14:textId="28C6AAC1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Transformer</w:t>
            </w:r>
          </w:p>
        </w:tc>
        <w:tc>
          <w:tcPr>
            <w:tcW w:w="1870" w:type="dxa"/>
          </w:tcPr>
          <w:p w14:paraId="072F295D" w14:textId="43833276" w:rsidR="009A3B10" w:rsidRPr="009A3B10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 xml:space="preserve">3.330883 </w:t>
            </w:r>
          </w:p>
          <w:p w14:paraId="334979E5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4D605E2" w14:textId="416070A5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2.658380</w:t>
            </w:r>
          </w:p>
        </w:tc>
        <w:tc>
          <w:tcPr>
            <w:tcW w:w="1870" w:type="dxa"/>
          </w:tcPr>
          <w:p w14:paraId="41AC71B7" w14:textId="2C22E2FB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1.83</w:t>
            </w:r>
          </w:p>
        </w:tc>
      </w:tr>
      <w:tr w:rsidR="009A3B10" w:rsidRPr="005D58FA" w14:paraId="43F63A66" w14:textId="77777777" w:rsidTr="00412BAC">
        <w:tc>
          <w:tcPr>
            <w:tcW w:w="1870" w:type="dxa"/>
            <w:vMerge/>
          </w:tcPr>
          <w:p w14:paraId="084A89AC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2E904541" w14:textId="689182C8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Improvement</w:t>
            </w:r>
          </w:p>
        </w:tc>
        <w:tc>
          <w:tcPr>
            <w:tcW w:w="1870" w:type="dxa"/>
          </w:tcPr>
          <w:p w14:paraId="40609287" w14:textId="1A139025" w:rsidR="009A3B10" w:rsidRPr="009A3B10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89.</w:t>
            </w:r>
            <w:r w:rsidRPr="005D5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7%</w:t>
            </w:r>
          </w:p>
          <w:p w14:paraId="6FBDAA2C" w14:textId="7777777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A3658D6" w14:textId="655801FD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90.2%</w:t>
            </w:r>
          </w:p>
        </w:tc>
        <w:tc>
          <w:tcPr>
            <w:tcW w:w="1870" w:type="dxa"/>
          </w:tcPr>
          <w:p w14:paraId="71FAF782" w14:textId="7F65B017" w:rsidR="009A3B10" w:rsidRPr="005D58FA" w:rsidRDefault="009A3B10" w:rsidP="00CD01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90.3%</w:t>
            </w:r>
          </w:p>
        </w:tc>
      </w:tr>
      <w:tr w:rsidR="009A3B10" w:rsidRPr="005D58FA" w14:paraId="655DBAB8" w14:textId="77777777" w:rsidTr="00412BAC">
        <w:tc>
          <w:tcPr>
            <w:tcW w:w="1870" w:type="dxa"/>
            <w:vMerge w:val="restart"/>
          </w:tcPr>
          <w:p w14:paraId="1BEA033E" w14:textId="77777777" w:rsidR="009A3B10" w:rsidRPr="00CD01BF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Average</w:t>
            </w:r>
          </w:p>
          <w:p w14:paraId="57F211EF" w14:textId="7777777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CA6DB2E" w14:textId="38B416F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VECM  </w:t>
            </w:r>
          </w:p>
        </w:tc>
        <w:tc>
          <w:tcPr>
            <w:tcW w:w="1870" w:type="dxa"/>
          </w:tcPr>
          <w:p w14:paraId="3FBF9913" w14:textId="66FC5BF1" w:rsidR="009A3B10" w:rsidRPr="009A3B10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 xml:space="preserve">10.822993 </w:t>
            </w:r>
          </w:p>
          <w:p w14:paraId="2833805A" w14:textId="7777777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ACFD449" w14:textId="1C467736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9.112113</w:t>
            </w:r>
          </w:p>
        </w:tc>
        <w:tc>
          <w:tcPr>
            <w:tcW w:w="1870" w:type="dxa"/>
          </w:tcPr>
          <w:p w14:paraId="720FDB52" w14:textId="4FC13B34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10.17</w:t>
            </w:r>
          </w:p>
        </w:tc>
      </w:tr>
      <w:tr w:rsidR="009A3B10" w:rsidRPr="005D58FA" w14:paraId="45629B9A" w14:textId="77777777" w:rsidTr="00412BAC">
        <w:tc>
          <w:tcPr>
            <w:tcW w:w="1870" w:type="dxa"/>
            <w:vMerge/>
          </w:tcPr>
          <w:p w14:paraId="076C57BD" w14:textId="77777777" w:rsidR="009A3B10" w:rsidRPr="005D58FA" w:rsidRDefault="009A3B10" w:rsidP="009A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</w:tcPr>
          <w:p w14:paraId="626E9944" w14:textId="6FE1D12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sz w:val="22"/>
                <w:szCs w:val="22"/>
              </w:rPr>
              <w:t>Transformer</w:t>
            </w:r>
          </w:p>
        </w:tc>
        <w:tc>
          <w:tcPr>
            <w:tcW w:w="1870" w:type="dxa"/>
          </w:tcPr>
          <w:p w14:paraId="35B014BD" w14:textId="164105AF" w:rsidR="009A3B10" w:rsidRPr="009A3B10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 xml:space="preserve">1.119280 </w:t>
            </w:r>
          </w:p>
          <w:p w14:paraId="47FABAF7" w14:textId="7777777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78E379D5" w14:textId="1DE1B043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0.893524</w:t>
            </w:r>
          </w:p>
        </w:tc>
        <w:tc>
          <w:tcPr>
            <w:tcW w:w="1870" w:type="dxa"/>
          </w:tcPr>
          <w:p w14:paraId="49C5D3FE" w14:textId="1C19078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>1.24</w:t>
            </w:r>
          </w:p>
        </w:tc>
      </w:tr>
      <w:tr w:rsidR="009A3B10" w:rsidRPr="005D58FA" w14:paraId="5FF014B5" w14:textId="77777777" w:rsidTr="00412BAC">
        <w:tc>
          <w:tcPr>
            <w:tcW w:w="1870" w:type="dxa"/>
            <w:vMerge/>
          </w:tcPr>
          <w:p w14:paraId="6C5ABBA3" w14:textId="77777777" w:rsidR="009A3B10" w:rsidRPr="005D58FA" w:rsidRDefault="009A3B10" w:rsidP="009A3B1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70" w:type="dxa"/>
          </w:tcPr>
          <w:p w14:paraId="6FDD5A94" w14:textId="4521B3B0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D01B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Improvement</w:t>
            </w:r>
          </w:p>
        </w:tc>
        <w:tc>
          <w:tcPr>
            <w:tcW w:w="1870" w:type="dxa"/>
          </w:tcPr>
          <w:p w14:paraId="4DCEA24E" w14:textId="0128C3FA" w:rsidR="009A3B10" w:rsidRPr="009A3B10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89.7%</w:t>
            </w:r>
            <w:r w:rsidRPr="009A3B1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9E8D9D4" w14:textId="77777777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4F94973" w14:textId="13F30100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90.2%</w:t>
            </w:r>
          </w:p>
        </w:tc>
        <w:tc>
          <w:tcPr>
            <w:tcW w:w="1870" w:type="dxa"/>
          </w:tcPr>
          <w:p w14:paraId="3A83736E" w14:textId="44817D6A" w:rsidR="009A3B10" w:rsidRPr="005D58FA" w:rsidRDefault="009A3B10" w:rsidP="009A3B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A3B1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87.8%</w:t>
            </w:r>
          </w:p>
        </w:tc>
      </w:tr>
    </w:tbl>
    <w:p w14:paraId="3996CB3F" w14:textId="77777777" w:rsidR="001B0A94" w:rsidRPr="00F30FD5" w:rsidRDefault="001B0A94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C36DF83" w14:textId="061825FF" w:rsidR="008E7CA1" w:rsidRPr="005D58FA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b/>
          <w:bCs/>
          <w:sz w:val="22"/>
          <w:szCs w:val="22"/>
        </w:rPr>
        <w:t>Key findings:</w:t>
      </w:r>
      <w:r w:rsidRPr="008E7CA1">
        <w:rPr>
          <w:rFonts w:ascii="Times New Roman" w:hAnsi="Times New Roman" w:cs="Times New Roman"/>
          <w:sz w:val="22"/>
          <w:szCs w:val="22"/>
        </w:rPr>
        <w:t xml:space="preserve"> Transformer reduces RMSE and MAE by roughly 89–90% on average and wins on MAPE for every pair. VECM underperforms, partly because it cannot exploit long-run structure (rank 0) and remains linear in differences.</w:t>
      </w:r>
    </w:p>
    <w:p w14:paraId="4E7CA8C0" w14:textId="77777777" w:rsidR="00BC61AB" w:rsidRPr="00BC61AB" w:rsidRDefault="00BC61AB" w:rsidP="00BC61A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C61AB">
        <w:rPr>
          <w:rFonts w:ascii="Times New Roman" w:hAnsi="Times New Roman" w:cs="Times New Roman"/>
          <w:sz w:val="22"/>
          <w:szCs w:val="22"/>
        </w:rPr>
        <w:t>VECM provides strong inferential validity suitable for economic research and policy analysis, while Transformer is primarily a forecasting tool with limited inferential capabilities.</w:t>
      </w:r>
    </w:p>
    <w:p w14:paraId="18128B60" w14:textId="77777777" w:rsidR="00BC61AB" w:rsidRPr="00BC61AB" w:rsidRDefault="00BC61AB" w:rsidP="00BC61A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BC61AB">
        <w:rPr>
          <w:rFonts w:ascii="Times New Roman" w:hAnsi="Times New Roman" w:cs="Times New Roman"/>
          <w:sz w:val="22"/>
          <w:szCs w:val="22"/>
        </w:rPr>
        <w:t>VECM provides theoretically grounded, mean-reverting forecasts, while Transformer provides flexible, data-driven forecasts that may capture non-linear patterns but lack theoretical guarantees.</w:t>
      </w:r>
    </w:p>
    <w:p w14:paraId="1A79A371" w14:textId="77777777" w:rsidR="00BC61AB" w:rsidRPr="00BC61AB" w:rsidRDefault="00BC61AB" w:rsidP="00BC61A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7685DA8" w14:textId="77777777" w:rsidR="00BC61AB" w:rsidRPr="005D58FA" w:rsidRDefault="00BC61AB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145241A" w14:textId="77777777" w:rsidR="00BC61AB" w:rsidRPr="008E7CA1" w:rsidRDefault="00BC61AB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191DCBD" w14:textId="2A4D9F04" w:rsidR="00BC61AB" w:rsidRPr="005D58FA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b/>
          <w:bCs/>
          <w:sz w:val="22"/>
          <w:szCs w:val="22"/>
        </w:rPr>
        <w:t>Figure 2 (Forecasts &amp; metrics placeholders):</w:t>
      </w:r>
      <w:r w:rsidRPr="008E7CA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6BEE1E" w14:textId="4EC54917" w:rsidR="00896327" w:rsidRPr="005D58FA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VECM vs actual, </w:t>
      </w:r>
    </w:p>
    <w:p w14:paraId="1D6D6A4C" w14:textId="2DF0FE2A" w:rsidR="00BC61AB" w:rsidRPr="005D58FA" w:rsidRDefault="00BC61AB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719ACE" wp14:editId="140B70CD">
            <wp:extent cx="6050280" cy="3709035"/>
            <wp:effectExtent l="0" t="0" r="7620" b="5715"/>
            <wp:docPr id="1807571614" name="Picture 6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71614" name="Picture 6" descr="A graph of a stock mar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504" cy="37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D2F5" w14:textId="5EE33DC3" w:rsidR="00896327" w:rsidRPr="005D58FA" w:rsidRDefault="00896327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DCFDA7E" w14:textId="77777777" w:rsidR="00896327" w:rsidRPr="005D58FA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Transformer vs actual, </w:t>
      </w:r>
    </w:p>
    <w:p w14:paraId="4C39EF10" w14:textId="7280DA93" w:rsidR="00896327" w:rsidRPr="005D58FA" w:rsidRDefault="00BC61AB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noProof/>
        </w:rPr>
        <w:drawing>
          <wp:inline distT="0" distB="0" distL="0" distR="0" wp14:anchorId="06B50C72" wp14:editId="7EDA340A">
            <wp:extent cx="6164580" cy="3448050"/>
            <wp:effectExtent l="0" t="0" r="7620" b="0"/>
            <wp:docPr id="168329743" name="Picture 5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9743" name="Picture 5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242" cy="346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EDC5" w14:textId="77777777" w:rsidR="00BC61AB" w:rsidRPr="005D58FA" w:rsidRDefault="00BC61AB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2CFF48B" w14:textId="31546D82" w:rsidR="008E7CA1" w:rsidRPr="005D58FA" w:rsidRDefault="00896327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sz w:val="22"/>
          <w:szCs w:val="22"/>
        </w:rPr>
        <w:lastRenderedPageBreak/>
        <w:t>B</w:t>
      </w:r>
      <w:r w:rsidR="008E7CA1" w:rsidRPr="008E7CA1">
        <w:rPr>
          <w:rFonts w:ascii="Times New Roman" w:hAnsi="Times New Roman" w:cs="Times New Roman"/>
          <w:sz w:val="22"/>
          <w:szCs w:val="22"/>
        </w:rPr>
        <w:t xml:space="preserve">ar charts of RMSE/MAE/MAPE </w:t>
      </w:r>
    </w:p>
    <w:p w14:paraId="75478325" w14:textId="27AE9340" w:rsidR="00896327" w:rsidRPr="008E7CA1" w:rsidRDefault="00896327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noProof/>
        </w:rPr>
        <w:drawing>
          <wp:inline distT="0" distB="0" distL="0" distR="0" wp14:anchorId="4A521A14" wp14:editId="4139F48B">
            <wp:extent cx="5551170" cy="4155666"/>
            <wp:effectExtent l="0" t="0" r="0" b="0"/>
            <wp:docPr id="1586480589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0589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65" cy="417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2201" w14:textId="47A09112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b/>
          <w:bCs/>
          <w:sz w:val="22"/>
          <w:szCs w:val="22"/>
        </w:rPr>
        <w:t xml:space="preserve"> Forecasting &amp; Simulation Analysis</w:t>
      </w:r>
    </w:p>
    <w:p w14:paraId="47567254" w14:textId="77777777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>- Forecasting setup: one-step-ahead out-of-sample forecasts on the last 20% of the sample (2020–2025) for all three FX series.</w:t>
      </w:r>
    </w:p>
    <w:p w14:paraId="5A6CE4EB" w14:textId="77777777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>- Horizon: 1-day ahead; forecasts are rolled across the test window.</w:t>
      </w:r>
    </w:p>
    <w:p w14:paraId="1E96F47F" w14:textId="77777777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>- Behavior: USDJPY is hardest to predict (largest scale and volatility); both models’ errors are largest there, but the Transformer still reduces error by about 90%.</w:t>
      </w:r>
    </w:p>
    <w:p w14:paraId="202E7FE9" w14:textId="77777777" w:rsidR="008E7CA1" w:rsidRPr="005D58FA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>- No separate simulation (e.g., scenario or stress-test simulations) is run; instead, we interpret behavior from the long evaluation window covering calm and turbulent periods.</w:t>
      </w:r>
    </w:p>
    <w:p w14:paraId="743E71E3" w14:textId="77777777" w:rsidR="00FD3F5B" w:rsidRPr="005D58FA" w:rsidRDefault="00FD3F5B" w:rsidP="008E7CA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DB315E3" w14:textId="5458F867" w:rsidR="008E7CA1" w:rsidRPr="005D58FA" w:rsidRDefault="008E7CA1" w:rsidP="008E7CA1">
      <w:pPr>
        <w:spacing w:line="240" w:lineRule="auto"/>
        <w:rPr>
          <w:rFonts w:ascii="Times New Roman" w:hAnsi="Times New Roman" w:cs="Times New Roman"/>
        </w:rPr>
      </w:pPr>
      <w:r w:rsidRPr="008E7CA1">
        <w:rPr>
          <w:rFonts w:ascii="Times New Roman" w:hAnsi="Times New Roman" w:cs="Times New Roman"/>
          <w:b/>
          <w:bCs/>
        </w:rPr>
        <w:t>6. Interpretation and Economic Insight</w:t>
      </w:r>
    </w:p>
    <w:p w14:paraId="43E8BD8E" w14:textId="59A58569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b/>
          <w:bCs/>
          <w:sz w:val="22"/>
          <w:szCs w:val="22"/>
        </w:rPr>
        <w:t>Overall Assessment:</w:t>
      </w:r>
    </w:p>
    <w:p w14:paraId="52BCC302" w14:textId="5C30ADFA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- 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For Forecasting:</w:t>
      </w:r>
      <w:r w:rsidRPr="008E7CA1">
        <w:rPr>
          <w:rFonts w:ascii="Times New Roman" w:hAnsi="Times New Roman" w:cs="Times New Roman"/>
          <w:sz w:val="22"/>
          <w:szCs w:val="22"/>
        </w:rPr>
        <w:t xml:space="preserve"> Transformer is clearly superior</w:t>
      </w:r>
    </w:p>
    <w:p w14:paraId="2E91F613" w14:textId="34FA2881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- 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For Economic Analysis:</w:t>
      </w:r>
      <w:r w:rsidRPr="008E7CA1">
        <w:rPr>
          <w:rFonts w:ascii="Times New Roman" w:hAnsi="Times New Roman" w:cs="Times New Roman"/>
          <w:sz w:val="22"/>
          <w:szCs w:val="22"/>
        </w:rPr>
        <w:t xml:space="preserve"> VECM is superior</w:t>
      </w:r>
    </w:p>
    <w:p w14:paraId="309A0248" w14:textId="2837F0F1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- 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For Policy Research:</w:t>
      </w:r>
      <w:r w:rsidRPr="008E7CA1">
        <w:rPr>
          <w:rFonts w:ascii="Times New Roman" w:hAnsi="Times New Roman" w:cs="Times New Roman"/>
          <w:sz w:val="22"/>
          <w:szCs w:val="22"/>
        </w:rPr>
        <w:t xml:space="preserve"> VECM is more suitable</w:t>
      </w:r>
    </w:p>
    <w:p w14:paraId="6CDC23DE" w14:textId="6BBC27F9" w:rsidR="00FD3F5B" w:rsidRPr="005D58FA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- 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For Real-Time Trading:</w:t>
      </w:r>
      <w:r w:rsidRPr="008E7CA1">
        <w:rPr>
          <w:rFonts w:ascii="Times New Roman" w:hAnsi="Times New Roman" w:cs="Times New Roman"/>
          <w:sz w:val="22"/>
          <w:szCs w:val="22"/>
        </w:rPr>
        <w:t xml:space="preserve"> Transformer may be preferred</w:t>
      </w:r>
    </w:p>
    <w:p w14:paraId="17ECD0D6" w14:textId="0EA50C79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b/>
          <w:bCs/>
          <w:sz w:val="22"/>
          <w:szCs w:val="22"/>
        </w:rPr>
        <w:lastRenderedPageBreak/>
        <w:t>Key Trade-off:</w:t>
      </w:r>
      <w:r w:rsidR="00D3548B" w:rsidRPr="005D58FA">
        <w:rPr>
          <w:rFonts w:ascii="Times New Roman" w:hAnsi="Times New Roman" w:cs="Times New Roman"/>
          <w:sz w:val="22"/>
          <w:szCs w:val="22"/>
        </w:rPr>
        <w:t xml:space="preserve"> 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Accuracy vs. Interpretability:</w:t>
      </w:r>
    </w:p>
    <w:p w14:paraId="73145CEF" w14:textId="7F98B549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>   -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Transformer:</w:t>
      </w:r>
      <w:r w:rsidRPr="008E7CA1">
        <w:rPr>
          <w:rFonts w:ascii="Times New Roman" w:hAnsi="Times New Roman" w:cs="Times New Roman"/>
          <w:sz w:val="22"/>
          <w:szCs w:val="22"/>
        </w:rPr>
        <w:t xml:space="preserve"> 89.7% better forecast accuracy, but limited interpretability</w:t>
      </w:r>
    </w:p>
    <w:p w14:paraId="6F3E29B1" w14:textId="04C9642F" w:rsidR="008E7CA1" w:rsidRPr="008E7CA1" w:rsidRDefault="008E7CA1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E7CA1">
        <w:rPr>
          <w:rFonts w:ascii="Times New Roman" w:hAnsi="Times New Roman" w:cs="Times New Roman"/>
          <w:sz w:val="22"/>
          <w:szCs w:val="22"/>
        </w:rPr>
        <w:t xml:space="preserve">   - </w:t>
      </w:r>
      <w:r w:rsidRPr="008E7CA1">
        <w:rPr>
          <w:rFonts w:ascii="Times New Roman" w:hAnsi="Times New Roman" w:cs="Times New Roman"/>
          <w:b/>
          <w:bCs/>
          <w:sz w:val="22"/>
          <w:szCs w:val="22"/>
        </w:rPr>
        <w:t>VECM:</w:t>
      </w:r>
      <w:r w:rsidRPr="008E7CA1">
        <w:rPr>
          <w:rFonts w:ascii="Times New Roman" w:hAnsi="Times New Roman" w:cs="Times New Roman"/>
          <w:sz w:val="22"/>
          <w:szCs w:val="22"/>
        </w:rPr>
        <w:t xml:space="preserve"> Explicit economic interpretation, but higher forecast errors</w:t>
      </w:r>
    </w:p>
    <w:p w14:paraId="2905CA87" w14:textId="3D38BE91" w:rsidR="008E7CA1" w:rsidRPr="008E7CA1" w:rsidRDefault="00BF4F68" w:rsidP="008E7CA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b/>
          <w:bCs/>
          <w:sz w:val="22"/>
          <w:szCs w:val="22"/>
        </w:rPr>
        <w:t xml:space="preserve">   - </w:t>
      </w:r>
      <w:r w:rsidR="008E7CA1" w:rsidRPr="005D58FA">
        <w:rPr>
          <w:rFonts w:ascii="Times New Roman" w:hAnsi="Times New Roman" w:cs="Times New Roman"/>
          <w:b/>
          <w:bCs/>
          <w:sz w:val="22"/>
          <w:szCs w:val="22"/>
        </w:rPr>
        <w:t>Implication:</w:t>
      </w:r>
      <w:r w:rsidR="008E7CA1" w:rsidRPr="005D58FA">
        <w:rPr>
          <w:rFonts w:ascii="Times New Roman" w:hAnsi="Times New Roman" w:cs="Times New Roman"/>
          <w:sz w:val="22"/>
          <w:szCs w:val="22"/>
        </w:rPr>
        <w:t xml:space="preserve"> Choose based on primary objective (forecasting vs. understanding)</w:t>
      </w:r>
    </w:p>
    <w:p w14:paraId="50795578" w14:textId="77777777" w:rsidR="00FD3F5B" w:rsidRPr="005D58FA" w:rsidRDefault="00FD3F5B" w:rsidP="00D3548B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2200496" w14:textId="35BD1FF7" w:rsidR="00D3548B" w:rsidRPr="00D3548B" w:rsidRDefault="00D3548B" w:rsidP="00D3548B">
      <w:pPr>
        <w:spacing w:line="240" w:lineRule="auto"/>
        <w:rPr>
          <w:rFonts w:ascii="Times New Roman" w:hAnsi="Times New Roman" w:cs="Times New Roman"/>
        </w:rPr>
      </w:pPr>
      <w:r w:rsidRPr="00D3548B">
        <w:rPr>
          <w:rFonts w:ascii="Times New Roman" w:hAnsi="Times New Roman" w:cs="Times New Roman"/>
          <w:b/>
          <w:bCs/>
        </w:rPr>
        <w:t>Interpretation</w:t>
      </w:r>
      <w:r w:rsidR="00FD3F5B" w:rsidRPr="005D58FA">
        <w:rPr>
          <w:rFonts w:ascii="Times New Roman" w:hAnsi="Times New Roman" w:cs="Times New Roman"/>
          <w:b/>
          <w:bCs/>
        </w:rPr>
        <w:t>:</w:t>
      </w:r>
    </w:p>
    <w:p w14:paraId="415CC2DD" w14:textId="2A55C03B" w:rsidR="00D3548B" w:rsidRPr="00D3548B" w:rsidRDefault="00D3548B" w:rsidP="00D354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3548B">
        <w:rPr>
          <w:rFonts w:ascii="Times New Roman" w:hAnsi="Times New Roman" w:cs="Times New Roman"/>
          <w:b/>
          <w:bCs/>
          <w:sz w:val="22"/>
          <w:szCs w:val="22"/>
        </w:rPr>
        <w:t>Statistical:</w:t>
      </w:r>
    </w:p>
    <w:p w14:paraId="1EAC5FFE" w14:textId="77777777" w:rsidR="00D3548B" w:rsidRPr="00D3548B" w:rsidRDefault="00D3548B" w:rsidP="00D354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3548B">
        <w:rPr>
          <w:rFonts w:ascii="Times New Roman" w:hAnsi="Times New Roman" w:cs="Times New Roman"/>
          <w:sz w:val="22"/>
          <w:szCs w:val="22"/>
        </w:rPr>
        <w:t>- The Transformer clearly dominates in point forecast accuracy on all metrics and all pairs.</w:t>
      </w:r>
    </w:p>
    <w:p w14:paraId="42CBAE75" w14:textId="36BC5BD8" w:rsidR="00D3548B" w:rsidRPr="00D3548B" w:rsidRDefault="00D3548B" w:rsidP="00D354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3548B">
        <w:rPr>
          <w:rFonts w:ascii="Times New Roman" w:hAnsi="Times New Roman" w:cs="Times New Roman"/>
          <w:sz w:val="22"/>
          <w:szCs w:val="22"/>
        </w:rPr>
        <w:t>- Classical VAR-in-differences residuals show some misspecification (autocorrelation for GBPUSD, non-normality across series), which weakens its statistical reliability.</w:t>
      </w:r>
    </w:p>
    <w:p w14:paraId="1AF0A529" w14:textId="15D23730" w:rsidR="00D3548B" w:rsidRPr="00D3548B" w:rsidRDefault="00D3548B" w:rsidP="00D354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3548B">
        <w:rPr>
          <w:rFonts w:ascii="Times New Roman" w:hAnsi="Times New Roman" w:cs="Times New Roman"/>
          <w:b/>
          <w:bCs/>
          <w:sz w:val="22"/>
          <w:szCs w:val="22"/>
        </w:rPr>
        <w:t>Economic:</w:t>
      </w:r>
    </w:p>
    <w:p w14:paraId="1CFCC387" w14:textId="77777777" w:rsidR="00D3548B" w:rsidRPr="00D3548B" w:rsidRDefault="00D3548B" w:rsidP="00D354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3548B">
        <w:rPr>
          <w:rFonts w:ascii="Times New Roman" w:hAnsi="Times New Roman" w:cs="Times New Roman"/>
          <w:sz w:val="22"/>
          <w:szCs w:val="22"/>
        </w:rPr>
        <w:t>- Because no cointegration is found, the classical model does not deliver the usual long-run parity or PPP-type interpretations; there is no stable β relation to interpret.</w:t>
      </w:r>
    </w:p>
    <w:p w14:paraId="27E5DD46" w14:textId="312DCA7D" w:rsidR="00D3548B" w:rsidRPr="00D3548B" w:rsidRDefault="00D3548B" w:rsidP="00D3548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3548B">
        <w:rPr>
          <w:rFonts w:ascii="Times New Roman" w:hAnsi="Times New Roman" w:cs="Times New Roman"/>
          <w:sz w:val="22"/>
          <w:szCs w:val="22"/>
        </w:rPr>
        <w:t>- The Transformer is data-driven and flexible; while less interpretable at the parameter level, its outperformance suggests that exchange rates exhibit non-linear and regime-dependent patterns not captured by a simple VAR(1).</w:t>
      </w:r>
    </w:p>
    <w:p w14:paraId="23EA776C" w14:textId="77777777" w:rsidR="00FD3F5B" w:rsidRPr="005D58FA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EE64B7C" w14:textId="1AA415F1" w:rsidR="00FD3F5B" w:rsidRPr="00FD3F5B" w:rsidRDefault="00FD3F5B" w:rsidP="00FD3F5B">
      <w:pPr>
        <w:spacing w:line="240" w:lineRule="auto"/>
        <w:rPr>
          <w:rFonts w:ascii="Times New Roman" w:hAnsi="Times New Roman" w:cs="Times New Roman"/>
        </w:rPr>
      </w:pPr>
      <w:r w:rsidRPr="00FD3F5B">
        <w:rPr>
          <w:rFonts w:ascii="Times New Roman" w:hAnsi="Times New Roman" w:cs="Times New Roman"/>
          <w:b/>
          <w:bCs/>
        </w:rPr>
        <w:t>7. Conclusion &amp; Limitations</w:t>
      </w:r>
    </w:p>
    <w:p w14:paraId="43EAAC16" w14:textId="3C2249FA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D58FA">
        <w:rPr>
          <w:rFonts w:ascii="Times New Roman" w:hAnsi="Times New Roman" w:cs="Times New Roman"/>
          <w:b/>
          <w:bCs/>
          <w:sz w:val="22"/>
          <w:szCs w:val="22"/>
        </w:rPr>
        <w:t xml:space="preserve">Conclusion: </w:t>
      </w:r>
    </w:p>
    <w:p w14:paraId="1CD8B23E" w14:textId="77777777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For FX forecasting on this dataset, the Transformer is clearly preferable to the classical VECM/VAR benchmark.</w:t>
      </w:r>
    </w:p>
    <w:p w14:paraId="403ABDBB" w14:textId="77777777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The absence of cointegration means the classical model’s main theoretical advantage (long-run equilibrium interpretation) is not realized.</w:t>
      </w:r>
    </w:p>
    <w:p w14:paraId="55AE692A" w14:textId="6285E88C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In practice, a risk manager or trader concerned primarily with forecast accuracy should choose the Transformer; a researcher needing structural interpretation would need richer econometric models or hybrid approaches.</w:t>
      </w:r>
    </w:p>
    <w:p w14:paraId="1F055E68" w14:textId="6686F585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b/>
          <w:bCs/>
          <w:sz w:val="22"/>
          <w:szCs w:val="22"/>
        </w:rPr>
        <w:t>Limitations:</w:t>
      </w:r>
    </w:p>
    <w:p w14:paraId="2C036FB5" w14:textId="77777777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No cointegration may be sample-dependent; adding fundamentals or shorter sub-periods could change the result.</w:t>
      </w:r>
    </w:p>
    <w:p w14:paraId="1AE147E0" w14:textId="77777777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Classical model uses only lag 1; more lags or GARCH-type volatility modeling might narrow the performance gap.</w:t>
      </w:r>
    </w:p>
    <w:p w14:paraId="4F8F1D0A" w14:textId="77777777" w:rsidR="00FD3F5B" w:rsidRPr="00FD3F5B" w:rsidRDefault="00FD3F5B" w:rsidP="00FD3F5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No formal Diebold–Mariano tests are reported; we rely on large, consistent error reductions.</w:t>
      </w:r>
    </w:p>
    <w:p w14:paraId="4A29DE7F" w14:textId="4F618871" w:rsidR="000D7A66" w:rsidRDefault="00FD3F5B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FD3F5B">
        <w:rPr>
          <w:rFonts w:ascii="Times New Roman" w:hAnsi="Times New Roman" w:cs="Times New Roman"/>
          <w:sz w:val="22"/>
          <w:szCs w:val="22"/>
        </w:rPr>
        <w:t>- Results are for 1-day-ahead horizons; multi-step forecasting is left for future work.</w:t>
      </w:r>
    </w:p>
    <w:p w14:paraId="62A2F98F" w14:textId="77777777" w:rsidR="004B52BF" w:rsidRDefault="004B52BF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CDB8A8B" w14:textId="77777777" w:rsidR="004B52BF" w:rsidRDefault="004B52BF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C21EBEF" w14:textId="64E032B6" w:rsidR="004B52BF" w:rsidRP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52BF">
        <w:rPr>
          <w:rFonts w:ascii="Times New Roman" w:hAnsi="Times New Roman" w:cs="Times New Roman"/>
          <w:b/>
          <w:bCs/>
          <w:sz w:val="22"/>
          <w:szCs w:val="22"/>
        </w:rPr>
        <w:lastRenderedPageBreak/>
        <w:t>References</w:t>
      </w:r>
    </w:p>
    <w:p w14:paraId="0C64E746" w14:textId="67D73BA9" w:rsidR="004B52BF" w:rsidRP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52BF">
        <w:rPr>
          <w:rFonts w:ascii="Times New Roman" w:hAnsi="Times New Roman" w:cs="Times New Roman"/>
          <w:b/>
          <w:bCs/>
          <w:sz w:val="22"/>
          <w:szCs w:val="22"/>
        </w:rPr>
        <w:t>Class Notes:</w:t>
      </w:r>
    </w:p>
    <w:p w14:paraId="16092BCB" w14:textId="77777777" w:rsidR="004B52BF" w:rsidRP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52BF">
        <w:rPr>
          <w:rFonts w:ascii="Times New Roman" w:hAnsi="Times New Roman" w:cs="Times New Roman"/>
          <w:sz w:val="22"/>
          <w:szCs w:val="22"/>
        </w:rPr>
        <w:t>- Multivariate Time Series Models (Class Notes) - VECM specification, cointegration, inference</w:t>
      </w:r>
    </w:p>
    <w:p w14:paraId="78E1C988" w14:textId="77777777" w:rsidR="004B52BF" w:rsidRP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52BF">
        <w:rPr>
          <w:rFonts w:ascii="Times New Roman" w:hAnsi="Times New Roman" w:cs="Times New Roman"/>
          <w:sz w:val="22"/>
          <w:szCs w:val="22"/>
        </w:rPr>
        <w:t>- Long Short-Term Memory Networks (Class Notes) - Transformer architecture, attention mechanisms, training</w:t>
      </w:r>
    </w:p>
    <w:p w14:paraId="08FD6EDB" w14:textId="77777777" w:rsidR="004B52BF" w:rsidRP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52BF">
        <w:rPr>
          <w:rFonts w:ascii="Times New Roman" w:hAnsi="Times New Roman" w:cs="Times New Roman"/>
          <w:sz w:val="22"/>
          <w:szCs w:val="22"/>
        </w:rPr>
        <w:t>- W1 time series fundamental (Class Notes) - Stationarity, unit root tests</w:t>
      </w:r>
    </w:p>
    <w:p w14:paraId="7D927230" w14:textId="77777777" w:rsid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52BF">
        <w:rPr>
          <w:rFonts w:ascii="Times New Roman" w:hAnsi="Times New Roman" w:cs="Times New Roman"/>
          <w:sz w:val="22"/>
          <w:szCs w:val="22"/>
        </w:rPr>
        <w:t>- W2 Quantitative Finance Fundamentals (Class Notes) - Statistical testing, evaluation</w:t>
      </w:r>
    </w:p>
    <w:p w14:paraId="443A9D63" w14:textId="77777777" w:rsidR="00DD6340" w:rsidRPr="00DD6340" w:rsidRDefault="00DD6340" w:rsidP="00DD634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6340">
        <w:rPr>
          <w:rFonts w:ascii="Times New Roman" w:hAnsi="Times New Roman" w:cs="Times New Roman"/>
          <w:sz w:val="22"/>
          <w:szCs w:val="22"/>
        </w:rPr>
        <w:t>- W1/W3: justify unit-root testing, differencing, and Johansen procedure.</w:t>
      </w:r>
    </w:p>
    <w:p w14:paraId="17B4AE04" w14:textId="77777777" w:rsidR="00DD6340" w:rsidRPr="00DD6340" w:rsidRDefault="00DD6340" w:rsidP="00DD634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6340">
        <w:rPr>
          <w:rFonts w:ascii="Times New Roman" w:hAnsi="Times New Roman" w:cs="Times New Roman"/>
          <w:sz w:val="22"/>
          <w:szCs w:val="22"/>
        </w:rPr>
        <w:t>- Multivariate Time Series Models: justify VAR/VECM specification and lag selection with AIC/BIC.</w:t>
      </w:r>
    </w:p>
    <w:p w14:paraId="4C550B41" w14:textId="20CEBCA6" w:rsidR="00043894" w:rsidRPr="00043894" w:rsidRDefault="00DD6340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6340">
        <w:rPr>
          <w:rFonts w:ascii="Times New Roman" w:hAnsi="Times New Roman" w:cs="Times New Roman"/>
          <w:sz w:val="22"/>
          <w:szCs w:val="22"/>
        </w:rPr>
        <w:t>- Long Short-Term Memory Networks notes: motivate deep learning, MSE/MAE/MAPE metrics, and the role of attention in improving sequential forecasts.</w:t>
      </w:r>
    </w:p>
    <w:p w14:paraId="759D8C56" w14:textId="32987628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b/>
          <w:bCs/>
          <w:sz w:val="22"/>
          <w:szCs w:val="22"/>
        </w:rPr>
        <w:t>VECM and Cointegration:</w:t>
      </w:r>
    </w:p>
    <w:p w14:paraId="381DA346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Engle, R. F., &amp; Granger, C. W. J. (1987). Co-integration and error correction: Representation, estimation, and testing.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</w:t>
      </w:r>
      <w:proofErr w:type="spellStart"/>
      <w:r w:rsidRPr="00043894">
        <w:rPr>
          <w:rFonts w:ascii="Times New Roman" w:hAnsi="Times New Roman" w:cs="Times New Roman"/>
          <w:i/>
          <w:iCs/>
          <w:sz w:val="22"/>
          <w:szCs w:val="22"/>
        </w:rPr>
        <w:t>Econometrica</w:t>
      </w:r>
      <w:proofErr w:type="spellEnd"/>
      <w:r w:rsidRPr="00043894">
        <w:rPr>
          <w:rFonts w:ascii="Times New Roman" w:hAnsi="Times New Roman" w:cs="Times New Roman"/>
          <w:i/>
          <w:iCs/>
          <w:sz w:val="22"/>
          <w:szCs w:val="22"/>
        </w:rPr>
        <w:t>*</w:t>
      </w:r>
      <w:r w:rsidRPr="00043894">
        <w:rPr>
          <w:rFonts w:ascii="Times New Roman" w:hAnsi="Times New Roman" w:cs="Times New Roman"/>
          <w:sz w:val="22"/>
          <w:szCs w:val="22"/>
        </w:rPr>
        <w:t>, 55(2), 251-276.</w:t>
      </w:r>
    </w:p>
    <w:p w14:paraId="6579A67A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Johansen, S., &amp; </w:t>
      </w:r>
      <w:proofErr w:type="spellStart"/>
      <w:r w:rsidRPr="00043894">
        <w:rPr>
          <w:rFonts w:ascii="Times New Roman" w:hAnsi="Times New Roman" w:cs="Times New Roman"/>
          <w:sz w:val="22"/>
          <w:szCs w:val="22"/>
        </w:rPr>
        <w:t>Juselius</w:t>
      </w:r>
      <w:proofErr w:type="spellEnd"/>
      <w:r w:rsidRPr="00043894">
        <w:rPr>
          <w:rFonts w:ascii="Times New Roman" w:hAnsi="Times New Roman" w:cs="Times New Roman"/>
          <w:sz w:val="22"/>
          <w:szCs w:val="22"/>
        </w:rPr>
        <w:t xml:space="preserve">, K. (1990). Maximum likelihood estimation and inference on cointegration—with applications to the demand for money.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*Oxford Bulletin of Economics and Statistics*</w:t>
      </w:r>
      <w:r w:rsidRPr="00043894">
        <w:rPr>
          <w:rFonts w:ascii="Times New Roman" w:hAnsi="Times New Roman" w:cs="Times New Roman"/>
          <w:sz w:val="22"/>
          <w:szCs w:val="22"/>
        </w:rPr>
        <w:t>, 52(2), 169-210.</w:t>
      </w:r>
    </w:p>
    <w:p w14:paraId="06F4764F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Lütkepohl, H. (2005).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*New Introduction to Multiple Time Series Analysis*</w:t>
      </w:r>
      <w:r w:rsidRPr="00043894">
        <w:rPr>
          <w:rFonts w:ascii="Times New Roman" w:hAnsi="Times New Roman" w:cs="Times New Roman"/>
          <w:sz w:val="22"/>
          <w:szCs w:val="22"/>
        </w:rPr>
        <w:t>. Springer-Verlag.</w:t>
      </w:r>
    </w:p>
    <w:p w14:paraId="10B3CD1A" w14:textId="238E5272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b/>
          <w:bCs/>
          <w:sz w:val="22"/>
          <w:szCs w:val="22"/>
        </w:rPr>
        <w:t>Transformer Models and Deep Learning for Time Series:</w:t>
      </w:r>
    </w:p>
    <w:p w14:paraId="5CD0251A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Vaswani, A., </w:t>
      </w:r>
      <w:proofErr w:type="spellStart"/>
      <w:r w:rsidRPr="00043894">
        <w:rPr>
          <w:rFonts w:ascii="Times New Roman" w:hAnsi="Times New Roman" w:cs="Times New Roman"/>
          <w:sz w:val="22"/>
          <w:szCs w:val="22"/>
        </w:rPr>
        <w:t>Shazeer</w:t>
      </w:r>
      <w:proofErr w:type="spellEnd"/>
      <w:r w:rsidRPr="00043894">
        <w:rPr>
          <w:rFonts w:ascii="Times New Roman" w:hAnsi="Times New Roman" w:cs="Times New Roman"/>
          <w:sz w:val="22"/>
          <w:szCs w:val="22"/>
        </w:rPr>
        <w:t xml:space="preserve">, N., Parmar, N., </w:t>
      </w:r>
      <w:proofErr w:type="spellStart"/>
      <w:r w:rsidRPr="00043894">
        <w:rPr>
          <w:rFonts w:ascii="Times New Roman" w:hAnsi="Times New Roman" w:cs="Times New Roman"/>
          <w:sz w:val="22"/>
          <w:szCs w:val="22"/>
        </w:rPr>
        <w:t>Uszkoreit</w:t>
      </w:r>
      <w:proofErr w:type="spellEnd"/>
      <w:r w:rsidRPr="00043894">
        <w:rPr>
          <w:rFonts w:ascii="Times New Roman" w:hAnsi="Times New Roman" w:cs="Times New Roman"/>
          <w:sz w:val="22"/>
          <w:szCs w:val="22"/>
        </w:rPr>
        <w:t xml:space="preserve">, J., Jones, L., Gomez, A. N., ... &amp; </w:t>
      </w:r>
      <w:proofErr w:type="spellStart"/>
      <w:r w:rsidRPr="00043894">
        <w:rPr>
          <w:rFonts w:ascii="Times New Roman" w:hAnsi="Times New Roman" w:cs="Times New Roman"/>
          <w:sz w:val="22"/>
          <w:szCs w:val="22"/>
        </w:rPr>
        <w:t>Polosukhin</w:t>
      </w:r>
      <w:proofErr w:type="spellEnd"/>
      <w:r w:rsidRPr="00043894">
        <w:rPr>
          <w:rFonts w:ascii="Times New Roman" w:hAnsi="Times New Roman" w:cs="Times New Roman"/>
          <w:sz w:val="22"/>
          <w:szCs w:val="22"/>
        </w:rPr>
        <w:t xml:space="preserve">, I. (2017). Attention is all you need.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*Advances in Neural Information Processing Systems*</w:t>
      </w:r>
      <w:r w:rsidRPr="00043894">
        <w:rPr>
          <w:rFonts w:ascii="Times New Roman" w:hAnsi="Times New Roman" w:cs="Times New Roman"/>
          <w:sz w:val="22"/>
          <w:szCs w:val="22"/>
        </w:rPr>
        <w:t>, 30, 5998-6008.</w:t>
      </w:r>
    </w:p>
    <w:p w14:paraId="382C3B4D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Wu, H., Xu, J., Wang, J., &amp; Long, M. (2021). </w:t>
      </w:r>
      <w:proofErr w:type="spellStart"/>
      <w:r w:rsidRPr="00043894">
        <w:rPr>
          <w:rFonts w:ascii="Times New Roman" w:hAnsi="Times New Roman" w:cs="Times New Roman"/>
          <w:sz w:val="22"/>
          <w:szCs w:val="22"/>
        </w:rPr>
        <w:t>Autoformer</w:t>
      </w:r>
      <w:proofErr w:type="spellEnd"/>
      <w:r w:rsidRPr="00043894">
        <w:rPr>
          <w:rFonts w:ascii="Times New Roman" w:hAnsi="Times New Roman" w:cs="Times New Roman"/>
          <w:sz w:val="22"/>
          <w:szCs w:val="22"/>
        </w:rPr>
        <w:t xml:space="preserve">: Decomposition transformers with auto-correlation for long-term series forecasting.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*Advances in Neural Information Processing Systems*</w:t>
      </w:r>
      <w:r w:rsidRPr="00043894">
        <w:rPr>
          <w:rFonts w:ascii="Times New Roman" w:hAnsi="Times New Roman" w:cs="Times New Roman"/>
          <w:sz w:val="22"/>
          <w:szCs w:val="22"/>
        </w:rPr>
        <w:t>, 34, 22419-22430.</w:t>
      </w:r>
    </w:p>
    <w:p w14:paraId="11C042D6" w14:textId="5FBEBB8B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Wen, Q., Zhou, T., Zhang, C., Chen, W., Ma, Z., Yan, J., &amp; Sun, L. (2022). Transformers in time series: A survey.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</w:t>
      </w:r>
      <w:proofErr w:type="spellStart"/>
      <w:r w:rsidRPr="00043894">
        <w:rPr>
          <w:rFonts w:ascii="Times New Roman" w:hAnsi="Times New Roman" w:cs="Times New Roman"/>
          <w:i/>
          <w:iCs/>
          <w:sz w:val="22"/>
          <w:szCs w:val="22"/>
        </w:rPr>
        <w:t>arXiv</w:t>
      </w:r>
      <w:proofErr w:type="spellEnd"/>
      <w:r w:rsidRPr="00043894">
        <w:rPr>
          <w:rFonts w:ascii="Times New Roman" w:hAnsi="Times New Roman" w:cs="Times New Roman"/>
          <w:i/>
          <w:iCs/>
          <w:sz w:val="22"/>
          <w:szCs w:val="22"/>
        </w:rPr>
        <w:t xml:space="preserve"> preprint arXiv:2202.07125*</w:t>
      </w:r>
      <w:r w:rsidRPr="00043894">
        <w:rPr>
          <w:rFonts w:ascii="Times New Roman" w:hAnsi="Times New Roman" w:cs="Times New Roman"/>
          <w:sz w:val="22"/>
          <w:szCs w:val="22"/>
        </w:rPr>
        <w:t>.</w:t>
      </w:r>
    </w:p>
    <w:p w14:paraId="17D0C48A" w14:textId="197DBC00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b/>
          <w:bCs/>
          <w:sz w:val="22"/>
          <w:szCs w:val="22"/>
        </w:rPr>
        <w:t>Exchange Rate Forecasting:</w:t>
      </w:r>
    </w:p>
    <w:p w14:paraId="3F10AFD5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Meese, R. A., &amp; Rogoff, K. (1983). Empirical exchange rate models of the seventies: Do they fit out of sample?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*Journal of International Economics*</w:t>
      </w:r>
      <w:r w:rsidRPr="00043894">
        <w:rPr>
          <w:rFonts w:ascii="Times New Roman" w:hAnsi="Times New Roman" w:cs="Times New Roman"/>
          <w:sz w:val="22"/>
          <w:szCs w:val="22"/>
        </w:rPr>
        <w:t>, 14(1-2), 3-24.</w:t>
      </w:r>
    </w:p>
    <w:p w14:paraId="23B2E993" w14:textId="2A7324E1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Cheung, Y. W., Chinn, M. D., &amp; Pascual, A. G. (2005). Empirical exchange rate models of the nineties: Are any fit to survive?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*Journal of International Money and Finance*</w:t>
      </w:r>
      <w:r w:rsidRPr="00043894">
        <w:rPr>
          <w:rFonts w:ascii="Times New Roman" w:hAnsi="Times New Roman" w:cs="Times New Roman"/>
          <w:sz w:val="22"/>
          <w:szCs w:val="22"/>
        </w:rPr>
        <w:t>, 24(7), 1150-1175.</w:t>
      </w:r>
    </w:p>
    <w:p w14:paraId="21B76AD2" w14:textId="3A79CF9A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b/>
          <w:bCs/>
          <w:sz w:val="22"/>
          <w:szCs w:val="22"/>
        </w:rPr>
        <w:t>Model Comparison and Evaluation:</w:t>
      </w:r>
    </w:p>
    <w:p w14:paraId="1489B988" w14:textId="77777777" w:rsidR="00043894" w:rsidRPr="00043894" w:rsidRDefault="00043894" w:rsidP="0004389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Diebold, F. X., &amp; Mariano, R. S. (1995). Comparing predictive accuracy.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*Journal of Business &amp; Economic Statistics*</w:t>
      </w:r>
      <w:r w:rsidRPr="00043894">
        <w:rPr>
          <w:rFonts w:ascii="Times New Roman" w:hAnsi="Times New Roman" w:cs="Times New Roman"/>
          <w:sz w:val="22"/>
          <w:szCs w:val="22"/>
        </w:rPr>
        <w:t>, 13(3), 253-263.</w:t>
      </w:r>
    </w:p>
    <w:p w14:paraId="78C74A2A" w14:textId="77777777" w:rsidR="007F7BD8" w:rsidRDefault="00043894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43894">
        <w:rPr>
          <w:rFonts w:ascii="Times New Roman" w:hAnsi="Times New Roman" w:cs="Times New Roman"/>
          <w:sz w:val="22"/>
          <w:szCs w:val="22"/>
        </w:rPr>
        <w:t xml:space="preserve">- Clark, T. E., &amp; West, K. D. (2007). Approximately normal tests for equal predictive accuracy in nested models. </w:t>
      </w:r>
      <w:r w:rsidRPr="00043894">
        <w:rPr>
          <w:rFonts w:ascii="Times New Roman" w:hAnsi="Times New Roman" w:cs="Times New Roman"/>
          <w:i/>
          <w:iCs/>
          <w:sz w:val="22"/>
          <w:szCs w:val="22"/>
        </w:rPr>
        <w:t>*Journal of Econometrics*</w:t>
      </w:r>
      <w:r w:rsidRPr="00043894">
        <w:rPr>
          <w:rFonts w:ascii="Times New Roman" w:hAnsi="Times New Roman" w:cs="Times New Roman"/>
          <w:sz w:val="22"/>
          <w:szCs w:val="22"/>
        </w:rPr>
        <w:t>, 138(1), 291-311.</w:t>
      </w:r>
    </w:p>
    <w:p w14:paraId="36FAC3A1" w14:textId="5A0E7C66" w:rsidR="003E0E3B" w:rsidRPr="003E0E3B" w:rsidRDefault="003E0E3B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E0E3B">
        <w:rPr>
          <w:rFonts w:ascii="Times New Roman" w:hAnsi="Times New Roman" w:cs="Times New Roman"/>
          <w:b/>
          <w:bCs/>
          <w:sz w:val="22"/>
          <w:szCs w:val="22"/>
        </w:rPr>
        <w:lastRenderedPageBreak/>
        <w:t>Code Appendix</w:t>
      </w:r>
    </w:p>
    <w:p w14:paraId="4D2FC1E4" w14:textId="7287EFC3" w:rsidR="003E0E3B" w:rsidRDefault="003E0E3B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E0E3B">
        <w:rPr>
          <w:rFonts w:ascii="Times New Roman" w:hAnsi="Times New Roman" w:cs="Times New Roman"/>
          <w:sz w:val="22"/>
          <w:szCs w:val="22"/>
        </w:rPr>
        <w:t xml:space="preserve">All code is provided in </w:t>
      </w:r>
      <w:proofErr w:type="spellStart"/>
      <w:r w:rsidRPr="003E0E3B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Pr="003E0E3B">
        <w:rPr>
          <w:rFonts w:ascii="Times New Roman" w:hAnsi="Times New Roman" w:cs="Times New Roman"/>
          <w:sz w:val="22"/>
          <w:szCs w:val="22"/>
        </w:rPr>
        <w:t xml:space="preserve"> notebook for reproducibility.</w:t>
      </w:r>
    </w:p>
    <w:p w14:paraId="5290C737" w14:textId="64D37DED" w:rsidR="00207743" w:rsidRPr="003E0E3B" w:rsidRDefault="005C74CC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Initial</w:t>
      </w:r>
      <w:r w:rsidR="00207743">
        <w:rPr>
          <w:rFonts w:ascii="Times New Roman" w:hAnsi="Times New Roman" w:cs="Times New Roman"/>
          <w:sz w:val="22"/>
          <w:szCs w:val="22"/>
        </w:rPr>
        <w:t xml:space="preserve"> </w:t>
      </w:r>
      <w:r w:rsidR="00276847">
        <w:rPr>
          <w:rFonts w:ascii="Times New Roman" w:hAnsi="Times New Roman" w:cs="Times New Roman"/>
          <w:sz w:val="22"/>
          <w:szCs w:val="22"/>
        </w:rPr>
        <w:t>datasets</w:t>
      </w:r>
      <w:r>
        <w:rPr>
          <w:rFonts w:ascii="Times New Roman" w:hAnsi="Times New Roman" w:cs="Times New Roman"/>
          <w:sz w:val="22"/>
          <w:szCs w:val="22"/>
        </w:rPr>
        <w:t xml:space="preserve"> are produced as you execute the notebook</w:t>
      </w:r>
      <w:r w:rsidR="00276847">
        <w:rPr>
          <w:rFonts w:ascii="Times New Roman" w:hAnsi="Times New Roman" w:cs="Times New Roman"/>
          <w:sz w:val="22"/>
          <w:szCs w:val="22"/>
        </w:rPr>
        <w:t>.</w:t>
      </w:r>
    </w:p>
    <w:p w14:paraId="3C2E2FD4" w14:textId="77777777" w:rsidR="003E0E3B" w:rsidRPr="003E0E3B" w:rsidRDefault="003E0E3B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92F5FE7" w14:textId="77777777" w:rsidR="003E0E3B" w:rsidRPr="003E0E3B" w:rsidRDefault="003E0E3B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74FED89" w14:textId="77777777" w:rsidR="003E0E3B" w:rsidRPr="003E0E3B" w:rsidRDefault="003E0E3B" w:rsidP="003E0E3B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667DF9F" w14:textId="77777777" w:rsidR="00DD6340" w:rsidRPr="004B52BF" w:rsidRDefault="00DD6340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633A933" w14:textId="77777777" w:rsidR="004B52BF" w:rsidRPr="004B52BF" w:rsidRDefault="004B52BF" w:rsidP="004B52BF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3EDA428" w14:textId="77777777" w:rsidR="004B52BF" w:rsidRPr="005D58FA" w:rsidRDefault="004B52BF" w:rsidP="00F30FD5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4B52BF" w:rsidRPr="005D5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E265E"/>
    <w:multiLevelType w:val="hybridMultilevel"/>
    <w:tmpl w:val="F13C2BC8"/>
    <w:lvl w:ilvl="0" w:tplc="96F4B100">
      <w:start w:val="6"/>
      <w:numFmt w:val="bullet"/>
      <w:lvlText w:val="-"/>
      <w:lvlJc w:val="left"/>
      <w:pPr>
        <w:ind w:left="49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num w:numId="1" w16cid:durableId="61702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4B"/>
    <w:rsid w:val="00011553"/>
    <w:rsid w:val="00043894"/>
    <w:rsid w:val="000B6BE1"/>
    <w:rsid w:val="000D0686"/>
    <w:rsid w:val="000D7A66"/>
    <w:rsid w:val="001428BC"/>
    <w:rsid w:val="0016444B"/>
    <w:rsid w:val="001B0A94"/>
    <w:rsid w:val="00207743"/>
    <w:rsid w:val="00276847"/>
    <w:rsid w:val="003A0F35"/>
    <w:rsid w:val="003E0E3B"/>
    <w:rsid w:val="00412BAC"/>
    <w:rsid w:val="004B52BF"/>
    <w:rsid w:val="005C74CC"/>
    <w:rsid w:val="005D58FA"/>
    <w:rsid w:val="007B5680"/>
    <w:rsid w:val="007D0D16"/>
    <w:rsid w:val="007E0BC2"/>
    <w:rsid w:val="007F7BD8"/>
    <w:rsid w:val="008462B5"/>
    <w:rsid w:val="00896327"/>
    <w:rsid w:val="008E7CA1"/>
    <w:rsid w:val="009A3B10"/>
    <w:rsid w:val="00AE4B02"/>
    <w:rsid w:val="00B95B11"/>
    <w:rsid w:val="00BC61AB"/>
    <w:rsid w:val="00BE28B1"/>
    <w:rsid w:val="00BF4F68"/>
    <w:rsid w:val="00CD01BF"/>
    <w:rsid w:val="00CD3173"/>
    <w:rsid w:val="00D3548B"/>
    <w:rsid w:val="00DC2D61"/>
    <w:rsid w:val="00DD6340"/>
    <w:rsid w:val="00E500AF"/>
    <w:rsid w:val="00ED63BD"/>
    <w:rsid w:val="00F20EE2"/>
    <w:rsid w:val="00F30FD5"/>
    <w:rsid w:val="00FD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A446"/>
  <w15:chartTrackingRefBased/>
  <w15:docId w15:val="{21A45336-5312-4451-BAC1-D1BBCB74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4B"/>
  </w:style>
  <w:style w:type="paragraph" w:styleId="Heading1">
    <w:name w:val="heading 1"/>
    <w:basedOn w:val="Normal"/>
    <w:next w:val="Normal"/>
    <w:link w:val="Heading1Char"/>
    <w:uiPriority w:val="9"/>
    <w:qFormat/>
    <w:rsid w:val="0016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0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9</Pages>
  <Words>1685</Words>
  <Characters>10656</Characters>
  <Application>Microsoft Office Word</Application>
  <DocSecurity>0</DocSecurity>
  <Lines>313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Bekithemba Nkomo [student]</dc:creator>
  <cp:keywords/>
  <dc:description/>
  <cp:lastModifiedBy>Bekithemba Nkomo [student]</cp:lastModifiedBy>
  <cp:revision>15</cp:revision>
  <dcterms:created xsi:type="dcterms:W3CDTF">2025-12-15T20:08:00Z</dcterms:created>
  <dcterms:modified xsi:type="dcterms:W3CDTF">2025-12-18T02:10:00Z</dcterms:modified>
</cp:coreProperties>
</file>