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1AAC" w:rsidRDefault="00B15EEC" w14:paraId="66F9C592" w14:textId="3E0024C7">
      <w:pPr>
        <w:spacing w:after="40"/>
      </w:pPr>
      <w:r w:rsidRPr="392E4F41" w:rsidR="22B46846">
        <w:rPr>
          <w:b w:val="1"/>
          <w:bCs w:val="1"/>
          <w:color w:val="5B6470"/>
          <w:sz w:val="24"/>
          <w:szCs w:val="24"/>
        </w:rPr>
        <w:t>+</w:t>
      </w:r>
      <w:r w:rsidRPr="392E4F41" w:rsidR="00B15EEC">
        <w:rPr>
          <w:b w:val="1"/>
          <w:bCs w:val="1"/>
          <w:color w:val="5B6470"/>
          <w:sz w:val="24"/>
          <w:szCs w:val="24"/>
        </w:rPr>
        <w:t>BUYER PERSONAS</w:t>
      </w:r>
    </w:p>
    <w:p w:rsidR="00591AAC" w:rsidRDefault="00B15EEC" w14:paraId="0FF4CEB1" w14:textId="77777777">
      <w:pPr>
        <w:spacing w:after="80"/>
      </w:pPr>
      <w:r>
        <w:rPr>
          <w:b/>
          <w:bCs/>
          <w:color w:val="1B2A4A"/>
          <w:sz w:val="40"/>
          <w:szCs w:val="40"/>
        </w:rPr>
        <w:t>Argento Scientific</w:t>
      </w:r>
    </w:p>
    <w:p w:rsidR="00591AAC" w:rsidRDefault="00B15EEC" w14:paraId="1945D0BF" w14:textId="77777777">
      <w:pPr>
        <w:spacing w:after="200"/>
      </w:pPr>
      <w:r>
        <w:rPr>
          <w:i/>
          <w:iCs/>
          <w:color w:val="5B6470"/>
          <w:sz w:val="22"/>
          <w:szCs w:val="22"/>
        </w:rPr>
        <w:t>Three profiles across the chromatography columns and lab safety buyer audiences</w:t>
      </w:r>
    </w:p>
    <w:p w:rsidR="00591AAC" w:rsidRDefault="00B15EEC" w14:paraId="318D14E8" w14:textId="79F566D0">
      <w:pPr>
        <w:spacing w:after="160"/>
      </w:pPr>
      <w:r w:rsidRPr="392E4F41" w:rsidR="00B15EEC">
        <w:rPr>
          <w:sz w:val="21"/>
          <w:szCs w:val="21"/>
        </w:rPr>
        <w:t>Research into Argento's customer base — combined with input from Adrian</w:t>
      </w:r>
      <w:r w:rsidRPr="392E4F41" w:rsidR="16F2C53A">
        <w:rPr>
          <w:sz w:val="21"/>
          <w:szCs w:val="21"/>
        </w:rPr>
        <w:t xml:space="preserve"> and Andrea</w:t>
      </w:r>
      <w:r w:rsidRPr="392E4F41" w:rsidR="00B15EEC">
        <w:rPr>
          <w:sz w:val="21"/>
          <w:szCs w:val="21"/>
        </w:rPr>
        <w:t xml:space="preserve"> — shows three distinct buyer types: two tiers of chromatography buyer (a bench-level scientist and a senior scientist who has outgrown standard specs), plus a separate buyer for Solvent Safety who isn't running purification experiments at all. All three are relevant to how the site should speak to its audience.</w:t>
      </w:r>
    </w:p>
    <w:p w:rsidR="00591AAC" w:rsidP="7C917066" w:rsidRDefault="00B15EEC" w14:paraId="714F2D1A" w14:textId="77777777">
      <w:pPr>
        <w:pStyle w:val="Heading1"/>
        <w:spacing w:before="420" w:after="60"/>
        <w:rPr>
          <w:b w:val="1"/>
          <w:bCs w:val="1"/>
          <w:color w:val="1B2A4A"/>
          <w:sz w:val="24"/>
          <w:szCs w:val="24"/>
        </w:rPr>
      </w:pPr>
      <w:r w:rsidRPr="7C917066" w:rsidR="08BB3B5B">
        <w:rPr>
          <w:b w:val="1"/>
          <w:bCs w:val="1"/>
          <w:color w:val="1B2A4A"/>
          <w:sz w:val="24"/>
          <w:szCs w:val="24"/>
        </w:rPr>
        <w:t>PERSONA 1 OF 3</w:t>
      </w:r>
    </w:p>
    <w:p w:rsidR="00591AAC" w:rsidRDefault="00B15EEC" w14:paraId="401465AE" w14:textId="77777777">
      <w:pPr>
        <w:pStyle w:val="Heading1"/>
        <w:spacing w:before="420" w:after="60"/>
      </w:pPr>
      <w:r>
        <w:rPr>
          <w:b/>
          <w:bCs/>
          <w:color w:val="185FA5"/>
        </w:rPr>
        <w:t>The Bench Scientist</w:t>
      </w:r>
    </w:p>
    <w:p w:rsidR="00591AAC" w:rsidRDefault="00B15EEC" w14:paraId="7A41242A" w14:textId="77777777">
      <w:pPr>
        <w:spacing w:after="200"/>
      </w:pPr>
      <w:r>
        <w:rPr>
          <w:i/>
          <w:iCs/>
          <w:color w:val="5B6470"/>
          <w:sz w:val="22"/>
          <w:szCs w:val="22"/>
        </w:rPr>
        <w:t>Early-to-mid career · executing the experiment · juggling a lot at once</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360"/>
        <w:gridCol w:w="3360"/>
        <w:gridCol w:w="3360"/>
      </w:tblGrid>
      <w:tr w:rsidR="00591AAC" w14:paraId="45DB8E7A" w14:textId="77777777">
        <w:tblPrEx>
          <w:tblCellMar>
            <w:top w:w="0" w:type="dxa"/>
            <w:bottom w:w="0" w:type="dxa"/>
          </w:tblCellMar>
        </w:tblPrEx>
        <w:tc>
          <w:tcPr>
            <w:tcW w:w="3120" w:type="dxa"/>
            <w:tcBorders>
              <w:top w:val="none" w:color="FFFFFF" w:sz="0" w:space="0"/>
              <w:left w:val="none" w:color="FFFFFF" w:sz="0" w:space="0"/>
              <w:bottom w:val="none" w:color="FFFFFF" w:sz="0" w:space="0"/>
              <w:right w:val="none" w:color="FFFFFF" w:sz="0" w:space="0"/>
            </w:tcBorders>
            <w:shd w:val="clear" w:color="auto" w:fill="EAF1F8"/>
            <w:tcMar>
              <w:top w:w="120" w:type="dxa"/>
              <w:left w:w="160" w:type="dxa"/>
              <w:bottom w:w="120" w:type="dxa"/>
              <w:right w:w="160" w:type="dxa"/>
            </w:tcMar>
          </w:tcPr>
          <w:p w:rsidR="00591AAC" w:rsidRDefault="00B15EEC" w14:paraId="3E065EC1" w14:textId="77777777">
            <w:pPr>
              <w:spacing w:after="20"/>
            </w:pPr>
            <w:r>
              <w:rPr>
                <w:b/>
                <w:bCs/>
                <w:color w:val="185FA5"/>
                <w:sz w:val="22"/>
                <w:szCs w:val="22"/>
              </w:rPr>
              <w:t>2–6 years</w:t>
            </w:r>
          </w:p>
          <w:p w:rsidR="00591AAC" w:rsidRDefault="00B15EEC" w14:paraId="79517730" w14:textId="77777777">
            <w:r>
              <w:rPr>
                <w:color w:val="5B6470"/>
                <w:sz w:val="18"/>
                <w:szCs w:val="18"/>
              </w:rPr>
              <w:t>Typical experience</w:t>
            </w:r>
          </w:p>
        </w:tc>
        <w:tc>
          <w:tcPr>
            <w:tcW w:w="3120" w:type="dxa"/>
            <w:tcBorders>
              <w:top w:val="none" w:color="FFFFFF" w:sz="0" w:space="0"/>
              <w:left w:val="none" w:color="FFFFFF" w:sz="0" w:space="0"/>
              <w:bottom w:val="none" w:color="FFFFFF" w:sz="0" w:space="0"/>
              <w:right w:val="none" w:color="FFFFFF" w:sz="0" w:space="0"/>
            </w:tcBorders>
            <w:shd w:val="clear" w:color="auto" w:fill="EAF1F8"/>
            <w:tcMar>
              <w:top w:w="120" w:type="dxa"/>
              <w:left w:w="160" w:type="dxa"/>
              <w:bottom w:w="120" w:type="dxa"/>
              <w:right w:w="160" w:type="dxa"/>
            </w:tcMar>
          </w:tcPr>
          <w:p w:rsidR="00591AAC" w:rsidRDefault="00B15EEC" w14:paraId="4686AA12" w14:textId="77777777">
            <w:pPr>
              <w:spacing w:after="20"/>
            </w:pPr>
            <w:r>
              <w:rPr>
                <w:b/>
                <w:bCs/>
                <w:color w:val="185FA5"/>
                <w:sz w:val="22"/>
                <w:szCs w:val="22"/>
              </w:rPr>
              <w:t>Individual contributor</w:t>
            </w:r>
          </w:p>
          <w:p w:rsidR="00591AAC" w:rsidRDefault="00B15EEC" w14:paraId="244A9B9E" w14:textId="77777777">
            <w:r>
              <w:rPr>
                <w:color w:val="5B6470"/>
                <w:sz w:val="18"/>
                <w:szCs w:val="18"/>
              </w:rPr>
              <w:t>Seniority</w:t>
            </w:r>
          </w:p>
        </w:tc>
        <w:tc>
          <w:tcPr>
            <w:tcW w:w="3120" w:type="dxa"/>
            <w:tcBorders>
              <w:top w:val="none" w:color="FFFFFF" w:sz="0" w:space="0"/>
              <w:left w:val="none" w:color="FFFFFF" w:sz="0" w:space="0"/>
              <w:bottom w:val="none" w:color="FFFFFF" w:sz="0" w:space="0"/>
              <w:right w:val="none" w:color="FFFFFF" w:sz="0" w:space="0"/>
            </w:tcBorders>
            <w:shd w:val="clear" w:color="auto" w:fill="EAF1F8"/>
            <w:tcMar>
              <w:top w:w="120" w:type="dxa"/>
              <w:left w:w="160" w:type="dxa"/>
              <w:bottom w:w="120" w:type="dxa"/>
              <w:right w:w="160" w:type="dxa"/>
            </w:tcMar>
          </w:tcPr>
          <w:p w:rsidR="00591AAC" w:rsidRDefault="00B15EEC" w14:paraId="1FB345EC" w14:textId="77777777">
            <w:pPr>
              <w:spacing w:after="20"/>
            </w:pPr>
            <w:r>
              <w:rPr>
                <w:b/>
                <w:bCs/>
                <w:color w:val="185FA5"/>
                <w:sz w:val="22"/>
                <w:szCs w:val="22"/>
              </w:rPr>
              <w:t>Word-of-mouth</w:t>
            </w:r>
          </w:p>
          <w:p w:rsidR="00591AAC" w:rsidRDefault="00B15EEC" w14:paraId="4B93E399" w14:textId="77777777">
            <w:r>
              <w:rPr>
                <w:color w:val="5B6470"/>
                <w:sz w:val="18"/>
                <w:szCs w:val="18"/>
              </w:rPr>
              <w:t>Primary channel</w:t>
            </w:r>
          </w:p>
        </w:tc>
      </w:tr>
    </w:tbl>
    <w:p w:rsidR="00591AAC" w:rsidRDefault="00591AAC" w14:paraId="672A6659" w14:textId="77777777">
      <w:pPr>
        <w:spacing w:after="120"/>
      </w:pPr>
    </w:p>
    <w:p w:rsidR="00591AAC" w:rsidRDefault="00B15EEC" w14:paraId="7573FFA4" w14:textId="77777777">
      <w:pPr>
        <w:spacing w:before="260" w:after="100"/>
      </w:pPr>
      <w:r>
        <w:rPr>
          <w:b/>
          <w:bCs/>
          <w:color w:val="185FA5"/>
          <w:sz w:val="24"/>
          <w:szCs w:val="24"/>
        </w:rPr>
        <w:t>Who they are</w:t>
      </w:r>
    </w:p>
    <w:p w:rsidR="00591AAC" w:rsidRDefault="00B15EEC" w14:paraId="4DD1F85F" w14:textId="77777777">
      <w:pPr>
        <w:spacing w:after="160"/>
      </w:pPr>
      <w:r>
        <w:rPr>
          <w:sz w:val="21"/>
          <w:szCs w:val="21"/>
        </w:rPr>
        <w:t>Early-to-mid-career scientists embedded in downstream process development teams. They're smart and credentialed, currently executing on someone else's experimental plan rather than directing their own research — and they're juggling a lot of it at once. Adrian describes this persona as “house trained”: a genuinely strong scientist who is also a great collaborator in a corporate environment, not just a technician working in isolation.</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26"/>
        <w:gridCol w:w="7754"/>
      </w:tblGrid>
      <w:tr w:rsidR="00591AAC" w14:paraId="21885375" w14:textId="77777777">
        <w:tblPrEx>
          <w:tblCellMar>
            <w:top w:w="0" w:type="dxa"/>
            <w:bottom w:w="0" w:type="dxa"/>
          </w:tblCellMar>
        </w:tblPrEx>
        <w:tc>
          <w:tcPr>
            <w:tcW w:w="2160" w:type="dxa"/>
            <w:tcBorders>
              <w:top w:val="single" w:color="DDDDDD" w:sz="4" w:space="0"/>
              <w:left w:val="none" w:color="FFFFFF" w:sz="0" w:space="0"/>
              <w:bottom w:val="single" w:color="DDDDDD" w:sz="4" w:space="0"/>
              <w:right w:val="none" w:color="FFFFFF" w:sz="0" w:space="0"/>
            </w:tcBorders>
            <w:tcMar>
              <w:top w:w="100" w:type="dxa"/>
              <w:left w:w="0" w:type="dxa"/>
              <w:bottom w:w="100" w:type="dxa"/>
              <w:right w:w="100" w:type="dxa"/>
            </w:tcMar>
          </w:tcPr>
          <w:p w:rsidR="00591AAC" w:rsidRDefault="00B15EEC" w14:paraId="07C4896F" w14:textId="77777777">
            <w:r>
              <w:rPr>
                <w:b/>
                <w:bCs/>
                <w:color w:val="185FA5"/>
              </w:rPr>
              <w:t>Job titles</w:t>
            </w:r>
          </w:p>
        </w:tc>
        <w:tc>
          <w:tcPr>
            <w:tcW w:w="7200" w:type="dxa"/>
            <w:tcBorders>
              <w:top w:val="single" w:color="DDDDDD" w:sz="4" w:space="0"/>
              <w:left w:val="none" w:color="FFFFFF" w:sz="0" w:space="0"/>
              <w:bottom w:val="single" w:color="DDDDDD" w:sz="4" w:space="0"/>
              <w:right w:val="none" w:color="FFFFFF" w:sz="0" w:space="0"/>
            </w:tcBorders>
            <w:tcMar>
              <w:top w:w="100" w:type="dxa"/>
              <w:left w:w="100" w:type="dxa"/>
              <w:bottom w:w="100" w:type="dxa"/>
              <w:right w:w="0" w:type="dxa"/>
            </w:tcMar>
          </w:tcPr>
          <w:p w:rsidR="00591AAC" w:rsidRDefault="00B15EEC" w14:paraId="7948BEDB" w14:textId="77777777">
            <w:r>
              <w:t>Research Associate, Associate Scientist, Scientist I/II, Biologist I — Downstream Process Development or Purification</w:t>
            </w:r>
          </w:p>
        </w:tc>
      </w:tr>
      <w:tr w:rsidR="00591AAC" w14:paraId="7BAF0AB4" w14:textId="77777777">
        <w:tblPrEx>
          <w:tblCellMar>
            <w:top w:w="0" w:type="dxa"/>
            <w:bottom w:w="0" w:type="dxa"/>
          </w:tblCellMar>
        </w:tblPrEx>
        <w:tc>
          <w:tcPr>
            <w:tcW w:w="2160" w:type="dxa"/>
            <w:tcBorders>
              <w:top w:val="single" w:color="DDDDDD" w:sz="4" w:space="0"/>
              <w:left w:val="none" w:color="FFFFFF" w:sz="0" w:space="0"/>
              <w:bottom w:val="single" w:color="DDDDDD" w:sz="4" w:space="0"/>
              <w:right w:val="none" w:color="FFFFFF" w:sz="0" w:space="0"/>
            </w:tcBorders>
            <w:tcMar>
              <w:top w:w="100" w:type="dxa"/>
              <w:left w:w="0" w:type="dxa"/>
              <w:bottom w:w="100" w:type="dxa"/>
              <w:right w:w="100" w:type="dxa"/>
            </w:tcMar>
          </w:tcPr>
          <w:p w:rsidR="00591AAC" w:rsidRDefault="00B15EEC" w14:paraId="69D0C959" w14:textId="77777777">
            <w:r>
              <w:rPr>
                <w:b/>
                <w:bCs/>
                <w:color w:val="185FA5"/>
              </w:rPr>
              <w:t>Education</w:t>
            </w:r>
          </w:p>
        </w:tc>
        <w:tc>
          <w:tcPr>
            <w:tcW w:w="7200" w:type="dxa"/>
            <w:tcBorders>
              <w:top w:val="single" w:color="DDDDDD" w:sz="4" w:space="0"/>
              <w:left w:val="none" w:color="FFFFFF" w:sz="0" w:space="0"/>
              <w:bottom w:val="single" w:color="DDDDDD" w:sz="4" w:space="0"/>
              <w:right w:val="none" w:color="FFFFFF" w:sz="0" w:space="0"/>
            </w:tcBorders>
            <w:tcMar>
              <w:top w:w="100" w:type="dxa"/>
              <w:left w:w="100" w:type="dxa"/>
              <w:bottom w:w="100" w:type="dxa"/>
              <w:right w:w="0" w:type="dxa"/>
            </w:tcMar>
          </w:tcPr>
          <w:p w:rsidR="00591AAC" w:rsidRDefault="00B15EEC" w14:paraId="6F9AD6A5" w14:textId="77777777">
            <w:r>
              <w:t>Bachelor’s or Master’s degree in biochemistry, chemistry, chemical engineering, or related life science</w:t>
            </w:r>
          </w:p>
        </w:tc>
      </w:tr>
      <w:tr w:rsidR="00591AAC" w14:paraId="5DAEDD5C" w14:textId="77777777">
        <w:tblPrEx>
          <w:tblCellMar>
            <w:top w:w="0" w:type="dxa"/>
            <w:bottom w:w="0" w:type="dxa"/>
          </w:tblCellMar>
        </w:tblPrEx>
        <w:tc>
          <w:tcPr>
            <w:tcW w:w="2160" w:type="dxa"/>
            <w:tcBorders>
              <w:top w:val="single" w:color="DDDDDD" w:sz="4" w:space="0"/>
              <w:left w:val="none" w:color="FFFFFF" w:sz="0" w:space="0"/>
              <w:bottom w:val="single" w:color="DDDDDD" w:sz="4" w:space="0"/>
              <w:right w:val="none" w:color="FFFFFF" w:sz="0" w:space="0"/>
            </w:tcBorders>
            <w:tcMar>
              <w:top w:w="100" w:type="dxa"/>
              <w:left w:w="0" w:type="dxa"/>
              <w:bottom w:w="100" w:type="dxa"/>
              <w:right w:w="100" w:type="dxa"/>
            </w:tcMar>
          </w:tcPr>
          <w:p w:rsidR="00591AAC" w:rsidRDefault="00B15EEC" w14:paraId="49E91177" w14:textId="77777777">
            <w:r>
              <w:rPr>
                <w:b/>
                <w:bCs/>
                <w:color w:val="185FA5"/>
              </w:rPr>
              <w:t>Career stage</w:t>
            </w:r>
          </w:p>
        </w:tc>
        <w:tc>
          <w:tcPr>
            <w:tcW w:w="7200" w:type="dxa"/>
            <w:tcBorders>
              <w:top w:val="single" w:color="DDDDDD" w:sz="4" w:space="0"/>
              <w:left w:val="none" w:color="FFFFFF" w:sz="0" w:space="0"/>
              <w:bottom w:val="single" w:color="DDDDDD" w:sz="4" w:space="0"/>
              <w:right w:val="none" w:color="FFFFFF" w:sz="0" w:space="0"/>
            </w:tcBorders>
            <w:tcMar>
              <w:top w:w="100" w:type="dxa"/>
              <w:left w:w="100" w:type="dxa"/>
              <w:bottom w:w="100" w:type="dxa"/>
              <w:right w:w="0" w:type="dxa"/>
            </w:tcMar>
          </w:tcPr>
          <w:p w:rsidR="00591AAC" w:rsidRDefault="00B15EEC" w14:paraId="11FFB772" w14:textId="77777777">
            <w:r>
              <w:t>2–6 years experience. Juggling multiple experiments and priorities while executing a plan designed by senior scientists or a lab head.</w:t>
            </w:r>
          </w:p>
        </w:tc>
      </w:tr>
      <w:tr w:rsidR="00591AAC" w14:paraId="200FA5DF" w14:textId="77777777">
        <w:tblPrEx>
          <w:tblCellMar>
            <w:top w:w="0" w:type="dxa"/>
            <w:bottom w:w="0" w:type="dxa"/>
          </w:tblCellMar>
        </w:tblPrEx>
        <w:tc>
          <w:tcPr>
            <w:tcW w:w="2160" w:type="dxa"/>
            <w:tcBorders>
              <w:top w:val="single" w:color="DDDDDD" w:sz="4" w:space="0"/>
              <w:left w:val="none" w:color="FFFFFF" w:sz="0" w:space="0"/>
              <w:bottom w:val="single" w:color="DDDDDD" w:sz="4" w:space="0"/>
              <w:right w:val="none" w:color="FFFFFF" w:sz="0" w:space="0"/>
            </w:tcBorders>
            <w:tcMar>
              <w:top w:w="100" w:type="dxa"/>
              <w:left w:w="0" w:type="dxa"/>
              <w:bottom w:w="100" w:type="dxa"/>
              <w:right w:w="100" w:type="dxa"/>
            </w:tcMar>
          </w:tcPr>
          <w:p w:rsidR="00591AAC" w:rsidRDefault="00B15EEC" w14:paraId="4EAEE0C9" w14:textId="77777777">
            <w:r>
              <w:rPr>
                <w:b/>
                <w:bCs/>
                <w:color w:val="185FA5"/>
              </w:rPr>
              <w:t>Aspiration</w:t>
            </w:r>
          </w:p>
        </w:tc>
        <w:tc>
          <w:tcPr>
            <w:tcW w:w="7200" w:type="dxa"/>
            <w:tcBorders>
              <w:top w:val="single" w:color="DDDDDD" w:sz="4" w:space="0"/>
              <w:left w:val="none" w:color="FFFFFF" w:sz="0" w:space="0"/>
              <w:bottom w:val="single" w:color="DDDDDD" w:sz="4" w:space="0"/>
              <w:right w:val="none" w:color="FFFFFF" w:sz="0" w:space="0"/>
            </w:tcBorders>
            <w:tcMar>
              <w:top w:w="100" w:type="dxa"/>
              <w:left w:w="100" w:type="dxa"/>
              <w:bottom w:w="100" w:type="dxa"/>
              <w:right w:w="0" w:type="dxa"/>
            </w:tcMar>
          </w:tcPr>
          <w:p w:rsidR="00591AAC" w:rsidRDefault="00B15EEC" w14:paraId="764EE4F8" w14:textId="77777777">
            <w:r>
              <w:t>Wants to grow into directing their own experiments and eventually leading a research group</w:t>
            </w:r>
          </w:p>
        </w:tc>
      </w:tr>
    </w:tbl>
    <w:p w:rsidR="00591AAC" w:rsidRDefault="00591AAC" w14:paraId="0A37501D" w14:textId="77777777">
      <w:pPr>
        <w:spacing w:after="120"/>
      </w:pPr>
    </w:p>
    <w:p w:rsidR="00591AAC" w:rsidRDefault="00B15EEC" w14:paraId="21090925" w14:textId="77777777">
      <w:pPr>
        <w:spacing w:before="260" w:after="100"/>
      </w:pPr>
      <w:r>
        <w:rPr>
          <w:b/>
          <w:bCs/>
          <w:color w:val="185FA5"/>
          <w:sz w:val="24"/>
          <w:szCs w:val="24"/>
        </w:rPr>
        <w:t>What they do</w:t>
      </w:r>
    </w:p>
    <w:p w:rsidR="00591AAC" w:rsidRDefault="00B15EEC" w14:paraId="310B9025" w14:textId="77777777">
      <w:pPr>
        <w:pStyle w:val="ListParagraph"/>
        <w:numPr>
          <w:ilvl w:val="0"/>
          <w:numId w:val="2"/>
        </w:numPr>
        <w:spacing w:after="70"/>
      </w:pPr>
      <w:r>
        <w:rPr>
          <w:sz w:val="21"/>
          <w:szCs w:val="21"/>
        </w:rPr>
        <w:t>Run purification experiments: chromatography, tangential flow filtration, normal filtration</w:t>
      </w:r>
    </w:p>
    <w:p w:rsidR="00591AAC" w:rsidRDefault="00B15EEC" w14:paraId="5DF992D1" w14:textId="77777777">
      <w:pPr>
        <w:pStyle w:val="ListParagraph"/>
        <w:numPr>
          <w:ilvl w:val="0"/>
          <w:numId w:val="2"/>
        </w:numPr>
        <w:spacing w:after="70"/>
      </w:pPr>
      <w:r>
        <w:rPr>
          <w:sz w:val="21"/>
          <w:szCs w:val="21"/>
        </w:rPr>
        <w:t>Pack columns and prepare solutions for downstream unit operations</w:t>
      </w:r>
    </w:p>
    <w:p w:rsidR="00591AAC" w:rsidRDefault="00B15EEC" w14:paraId="298A368C" w14:textId="77777777">
      <w:pPr>
        <w:pStyle w:val="ListParagraph"/>
        <w:numPr>
          <w:ilvl w:val="0"/>
          <w:numId w:val="2"/>
        </w:numPr>
        <w:spacing w:after="70"/>
      </w:pPr>
      <w:r>
        <w:rPr>
          <w:sz w:val="21"/>
          <w:szCs w:val="21"/>
        </w:rPr>
        <w:t>Analyze process samples — absorbance, pH, conductivity</w:t>
      </w:r>
    </w:p>
    <w:p w:rsidR="00591AAC" w:rsidRDefault="00B15EEC" w14:paraId="1C717831" w14:textId="77777777">
      <w:pPr>
        <w:pStyle w:val="ListParagraph"/>
        <w:numPr>
          <w:ilvl w:val="0"/>
          <w:numId w:val="2"/>
        </w:numPr>
        <w:spacing w:after="70"/>
      </w:pPr>
      <w:r>
        <w:rPr>
          <w:sz w:val="21"/>
          <w:szCs w:val="21"/>
        </w:rPr>
        <w:t>Write batch records and SOPs; present data at team meetings</w:t>
      </w:r>
    </w:p>
    <w:p w:rsidR="00591AAC" w:rsidP="392E4F41" w:rsidRDefault="00B15EEC" w14:paraId="6A2C9B82" w14:textId="37D5F8D0">
      <w:pPr>
        <w:pStyle w:val="ListParagraph"/>
        <w:numPr>
          <w:ilvl w:val="0"/>
          <w:numId w:val="2"/>
        </w:numPr>
        <w:spacing w:after="70"/>
        <w:rPr>
          <w:sz w:val="21"/>
          <w:szCs w:val="21"/>
        </w:rPr>
      </w:pPr>
      <w:r w:rsidRPr="392E4F41" w:rsidR="00B15EEC">
        <w:rPr>
          <w:sz w:val="21"/>
          <w:szCs w:val="21"/>
        </w:rPr>
        <w:t>Manage a full, varied task list day to day — this isn’t their only responsibility</w:t>
      </w:r>
    </w:p>
    <w:p w:rsidR="392E4F41" w:rsidP="392E4F41" w:rsidRDefault="392E4F41" w14:paraId="26FCE5CA" w14:textId="3BDD33CF">
      <w:pPr>
        <w:pStyle w:val="Normal"/>
        <w:spacing w:after="70"/>
        <w:rPr>
          <w:sz w:val="21"/>
          <w:szCs w:val="21"/>
        </w:rPr>
      </w:pPr>
    </w:p>
    <w:p w:rsidR="392E4F41" w:rsidP="392E4F41" w:rsidRDefault="392E4F41" w14:paraId="18F74AC2" w14:textId="2412787C">
      <w:pPr>
        <w:pStyle w:val="Normal"/>
        <w:spacing w:after="70"/>
        <w:rPr>
          <w:sz w:val="21"/>
          <w:szCs w:val="21"/>
        </w:rPr>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70"/>
      </w:tblGrid>
      <w:tr w:rsidR="00591AAC" w14:paraId="5532B2B8" w14:textId="77777777">
        <w:tblPrEx>
          <w:tblCellMar>
            <w:top w:w="0" w:type="dxa"/>
            <w:bottom w:w="0" w:type="dxa"/>
          </w:tblCellMar>
        </w:tblPrEx>
        <w:tc>
          <w:tcPr>
            <w:tcW w:w="9360" w:type="dxa"/>
            <w:tcBorders>
              <w:top w:val="single" w:color="185FA5" w:sz="4" w:space="0"/>
              <w:left w:val="single" w:color="185FA5" w:sz="4" w:space="0"/>
              <w:bottom w:val="single" w:color="185FA5" w:sz="4" w:space="0"/>
              <w:right w:val="single" w:color="185FA5" w:sz="4" w:space="0"/>
            </w:tcBorders>
            <w:shd w:val="clear" w:color="auto" w:fill="EAF1F8"/>
            <w:tcMar>
              <w:top w:w="160" w:type="dxa"/>
              <w:left w:w="200" w:type="dxa"/>
              <w:bottom w:w="160" w:type="dxa"/>
              <w:right w:w="200" w:type="dxa"/>
            </w:tcMar>
          </w:tcPr>
          <w:p w:rsidR="00591AAC" w:rsidRDefault="00B15EEC" w14:paraId="3571D5FD" w14:textId="77777777">
            <w:pPr>
              <w:spacing w:after="60"/>
            </w:pPr>
            <w:r>
              <w:rPr>
                <w:b/>
                <w:bCs/>
                <w:color w:val="185FA5"/>
                <w:sz w:val="21"/>
                <w:szCs w:val="21"/>
              </w:rPr>
              <w:t>Key insight: column packing is important but not high-value</w:t>
            </w:r>
          </w:p>
          <w:p w:rsidR="00591AAC" w:rsidRDefault="00B15EEC" w14:paraId="6ABC510D" w14:textId="77777777">
            <w:r>
              <w:rPr>
                <w:sz w:val="21"/>
                <w:szCs w:val="21"/>
              </w:rPr>
              <w:t>Packing columns is necessary — and doing it wrong can invalidate days of work — but it isn’t what this person was hired to do intellectually. Outsourcing it to Argento is a meaningful relief, freeing them for the science that actually advances their career.</w:t>
            </w:r>
          </w:p>
        </w:tc>
      </w:tr>
    </w:tbl>
    <w:p w:rsidR="00591AAC" w:rsidRDefault="00591AAC" w14:paraId="5DAB6C7B" w14:textId="77777777">
      <w:pPr>
        <w:spacing w:after="120"/>
      </w:pPr>
    </w:p>
    <w:p w:rsidR="00591AAC" w:rsidRDefault="00B15EEC" w14:paraId="4EEB5A3D" w14:textId="77777777">
      <w:pPr>
        <w:spacing w:before="260" w:after="100"/>
      </w:pPr>
      <w:r>
        <w:rPr>
          <w:b/>
          <w:bCs/>
          <w:color w:val="185FA5"/>
          <w:sz w:val="24"/>
          <w:szCs w:val="24"/>
        </w:rPr>
        <w:t>How they think and decide</w:t>
      </w:r>
    </w:p>
    <w:p w:rsidR="00591AAC" w:rsidRDefault="00B15EEC" w14:paraId="25C612AD" w14:textId="77777777">
      <w:pPr>
        <w:spacing w:before="200" w:after="80"/>
      </w:pPr>
      <w:r>
        <w:rPr>
          <w:b/>
          <w:bCs/>
          <w:color w:val="185FA5"/>
          <w:sz w:val="21"/>
          <w:szCs w:val="21"/>
        </w:rPr>
        <w:t>Motivations</w:t>
      </w:r>
    </w:p>
    <w:p w:rsidR="00591AAC" w:rsidRDefault="00B15EEC" w14:paraId="1FF7A6AD" w14:textId="77777777">
      <w:pPr>
        <w:pStyle w:val="ListParagraph"/>
        <w:numPr>
          <w:ilvl w:val="0"/>
          <w:numId w:val="2"/>
        </w:numPr>
        <w:spacing w:after="70"/>
      </w:pPr>
      <w:r>
        <w:rPr>
          <w:sz w:val="21"/>
          <w:szCs w:val="21"/>
        </w:rPr>
        <w:t>Accuracy and speed above cost — the company pays, so getting it right and getting it fast matter far more than price</w:t>
      </w:r>
    </w:p>
    <w:p w:rsidR="00591AAC" w:rsidRDefault="00B15EEC" w14:paraId="46E99C0A" w14:textId="77777777">
      <w:pPr>
        <w:pStyle w:val="ListParagraph"/>
        <w:numPr>
          <w:ilvl w:val="0"/>
          <w:numId w:val="2"/>
        </w:numPr>
        <w:spacing w:after="70"/>
      </w:pPr>
      <w:r>
        <w:rPr>
          <w:sz w:val="21"/>
          <w:szCs w:val="21"/>
        </w:rPr>
        <w:t>Risk aversion — a bad column ruins an experiment and reflects on them personally</w:t>
      </w:r>
    </w:p>
    <w:p w:rsidR="00591AAC" w:rsidRDefault="00B15EEC" w14:paraId="46C34C27" w14:textId="77777777">
      <w:pPr>
        <w:pStyle w:val="ListParagraph"/>
        <w:numPr>
          <w:ilvl w:val="0"/>
          <w:numId w:val="2"/>
        </w:numPr>
        <w:spacing w:after="70"/>
      </w:pPr>
      <w:r>
        <w:rPr>
          <w:sz w:val="21"/>
          <w:szCs w:val="21"/>
        </w:rPr>
        <w:t>Professional caution — recommending a vendor to colleagues can feel like sticking their neck out; it's intimidating precisely because they're junior enough that a bad call carries real weight</w:t>
      </w:r>
    </w:p>
    <w:p w:rsidR="00591AAC" w:rsidRDefault="00B15EEC" w14:paraId="157DE92A" w14:textId="77777777">
      <w:pPr>
        <w:spacing w:before="200" w:after="80"/>
      </w:pPr>
      <w:r>
        <w:rPr>
          <w:b/>
          <w:bCs/>
          <w:color w:val="185FA5"/>
          <w:sz w:val="21"/>
          <w:szCs w:val="21"/>
        </w:rPr>
        <w:t>Discovery and purchase path</w:t>
      </w:r>
    </w:p>
    <w:p w:rsidR="00591AAC" w:rsidRDefault="00B15EEC" w14:paraId="05DD550C" w14:textId="77777777">
      <w:pPr>
        <w:pStyle w:val="ListParagraph"/>
        <w:numPr>
          <w:ilvl w:val="0"/>
          <w:numId w:val="2"/>
        </w:numPr>
        <w:spacing w:after="70"/>
      </w:pPr>
      <w:r>
        <w:rPr>
          <w:sz w:val="21"/>
          <w:szCs w:val="21"/>
        </w:rPr>
        <w:t>Arrives via word-of-mouth from a labmate or peer at another company</w:t>
      </w:r>
    </w:p>
    <w:p w:rsidR="00591AAC" w:rsidRDefault="00B15EEC" w14:paraId="3FA3D2B6" w14:textId="77777777">
      <w:pPr>
        <w:pStyle w:val="ListParagraph"/>
        <w:numPr>
          <w:ilvl w:val="0"/>
          <w:numId w:val="2"/>
        </w:numPr>
        <w:spacing w:after="70"/>
      </w:pPr>
      <w:r>
        <w:rPr>
          <w:sz w:val="21"/>
          <w:szCs w:val="21"/>
        </w:rPr>
        <w:t>Acts as the internal champion — procurement or a lab manager processes the actual order</w:t>
      </w:r>
    </w:p>
    <w:p w:rsidR="00591AAC" w:rsidP="392E4F41" w:rsidRDefault="00B15EEC" w14:paraId="13786E0F" w14:textId="77777777">
      <w:pPr>
        <w:pStyle w:val="ListParagraph"/>
        <w:numPr>
          <w:ilvl w:val="0"/>
          <w:numId w:val="2"/>
        </w:numPr>
        <w:spacing w:after="70"/>
        <w:rPr>
          <w:sz w:val="21"/>
          <w:szCs w:val="21"/>
        </w:rPr>
      </w:pPr>
      <w:r w:rsidRPr="392E4F41" w:rsidR="00B15EEC">
        <w:rPr>
          <w:sz w:val="21"/>
          <w:szCs w:val="21"/>
        </w:rPr>
        <w:t>Needs something shareable to make the internal case: a clean product page, a one-pager, or a forwardable quote</w:t>
      </w:r>
    </w:p>
    <w:p w:rsidR="392E4F41" w:rsidP="392E4F41" w:rsidRDefault="392E4F41" w14:paraId="6760958A" w14:textId="6670E69B">
      <w:pPr>
        <w:pStyle w:val="Normal"/>
        <w:spacing w:after="70"/>
        <w:rPr>
          <w:sz w:val="21"/>
          <w:szCs w:val="21"/>
        </w:rPr>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70"/>
      </w:tblGrid>
      <w:tr w:rsidR="00591AAC" w14:paraId="08BD1A1A" w14:textId="77777777">
        <w:tblPrEx>
          <w:tblCellMar>
            <w:top w:w="0" w:type="dxa"/>
            <w:bottom w:w="0" w:type="dxa"/>
          </w:tblCellMar>
        </w:tblPrEx>
        <w:tc>
          <w:tcPr>
            <w:tcW w:w="9360" w:type="dxa"/>
            <w:tcBorders>
              <w:top w:val="single" w:color="185FA5" w:sz="4" w:space="0"/>
              <w:left w:val="single" w:color="185FA5" w:sz="4" w:space="0"/>
              <w:bottom w:val="single" w:color="185FA5" w:sz="4" w:space="0"/>
              <w:right w:val="single" w:color="185FA5" w:sz="4" w:space="0"/>
            </w:tcBorders>
            <w:shd w:val="clear" w:color="auto" w:fill="EAF1F8"/>
            <w:tcMar>
              <w:top w:w="160" w:type="dxa"/>
              <w:left w:w="200" w:type="dxa"/>
              <w:bottom w:w="160" w:type="dxa"/>
              <w:right w:w="200" w:type="dxa"/>
            </w:tcMar>
          </w:tcPr>
          <w:p w:rsidR="00591AAC" w:rsidRDefault="00B15EEC" w14:paraId="05BFF1E9" w14:textId="77777777">
            <w:pPr>
              <w:spacing w:after="60"/>
            </w:pPr>
            <w:r>
              <w:rPr>
                <w:b/>
                <w:bCs/>
                <w:color w:val="185FA5"/>
                <w:sz w:val="21"/>
                <w:szCs w:val="21"/>
              </w:rPr>
              <w:t>What the website needs to do for this persona</w:t>
            </w:r>
          </w:p>
          <w:p w:rsidR="00591AAC" w:rsidRDefault="00B15EEC" w14:paraId="5E2E19EA" w14:textId="77777777">
            <w:r>
              <w:rPr>
                <w:sz w:val="21"/>
                <w:szCs w:val="21"/>
              </w:rPr>
              <w:t>Trust confirmation, not discovery. They arrive already curious from word-of-mouth — the site needs to quickly answer “is this vendor legit?” and make recommending Argento feel like a safe, low-risk move rather than a personal gamble. Social proof and forwardable content matter more than SEO for this buyer.</w:t>
            </w:r>
          </w:p>
        </w:tc>
      </w:tr>
    </w:tbl>
    <w:p w:rsidR="00591AAC" w:rsidP="392E4F41" w:rsidRDefault="00591AAC" w14:paraId="02EB378F" w14:textId="77777777">
      <w:pPr>
        <w:pBdr>
          <w:bottom w:val="single" w:color="CCCCCC" w:sz="6" w:space="4"/>
        </w:pBdr>
        <w:spacing w:before="240" w:after="240"/>
      </w:pPr>
    </w:p>
    <w:p w:rsidR="392E4F41" w:rsidRDefault="392E4F41" w14:paraId="58988E60" w14:textId="358FB475">
      <w:r>
        <w:br w:type="page"/>
      </w:r>
    </w:p>
    <w:p w:rsidR="392E4F41" w:rsidP="392E4F41" w:rsidRDefault="392E4F41" w14:paraId="2BEF5A66" w14:textId="54610399">
      <w:pPr>
        <w:pStyle w:val="Normal"/>
        <w:pBdr>
          <w:bottom w:val="single" w:color="CCCCCC" w:sz="6" w:space="4"/>
        </w:pBdr>
        <w:spacing w:before="240" w:after="240"/>
      </w:pPr>
    </w:p>
    <w:p w:rsidR="00591AAC" w:rsidP="392E4F41" w:rsidRDefault="00B15EEC" w14:paraId="3DA1DF0C" w14:textId="77777777">
      <w:pPr>
        <w:pStyle w:val="Heading1"/>
        <w:spacing w:before="420" w:after="60"/>
        <w:rPr>
          <w:b w:val="1"/>
          <w:bCs w:val="1"/>
          <w:color w:val="1B2A4A"/>
          <w:sz w:val="24"/>
          <w:szCs w:val="24"/>
        </w:rPr>
      </w:pPr>
      <w:r w:rsidRPr="392E4F41" w:rsidR="00B15EEC">
        <w:rPr>
          <w:b w:val="1"/>
          <w:bCs w:val="1"/>
          <w:color w:val="1B2A4A"/>
          <w:sz w:val="24"/>
          <w:szCs w:val="24"/>
        </w:rPr>
        <w:t>PERSONA 2 OF 3</w:t>
      </w:r>
    </w:p>
    <w:p w:rsidR="00591AAC" w:rsidRDefault="00B15EEC" w14:paraId="010B4596" w14:textId="77777777">
      <w:pPr>
        <w:pStyle w:val="Heading1"/>
        <w:spacing w:before="420" w:after="60"/>
      </w:pPr>
      <w:r>
        <w:rPr>
          <w:b/>
          <w:bCs/>
          <w:color w:val="0F6E56"/>
        </w:rPr>
        <w:t>The Senior Technical Lead</w:t>
      </w:r>
    </w:p>
    <w:p w:rsidR="00591AAC" w:rsidRDefault="00B15EEC" w14:paraId="2C47A878" w14:textId="77777777">
      <w:pPr>
        <w:spacing w:after="200"/>
      </w:pPr>
      <w:r>
        <w:rPr>
          <w:i/>
          <w:iCs/>
          <w:color w:val="5B6470"/>
          <w:sz w:val="22"/>
          <w:szCs w:val="22"/>
        </w:rPr>
        <w:t>Owns a project or process area · fields the non-standard requests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360"/>
        <w:gridCol w:w="3360"/>
        <w:gridCol w:w="3360"/>
      </w:tblGrid>
      <w:tr w:rsidR="00591AAC" w14:paraId="644F951C" w14:textId="77777777">
        <w:tblPrEx>
          <w:tblCellMar>
            <w:top w:w="0" w:type="dxa"/>
            <w:bottom w:w="0" w:type="dxa"/>
          </w:tblCellMar>
        </w:tblPrEx>
        <w:tc>
          <w:tcPr>
            <w:tcW w:w="3120" w:type="dxa"/>
            <w:tcBorders>
              <w:top w:val="none" w:color="FFFFFF" w:sz="0" w:space="0"/>
              <w:left w:val="none" w:color="FFFFFF" w:sz="0" w:space="0"/>
              <w:bottom w:val="none" w:color="FFFFFF" w:sz="0" w:space="0"/>
              <w:right w:val="none" w:color="FFFFFF" w:sz="0" w:space="0"/>
            </w:tcBorders>
            <w:shd w:val="clear" w:color="auto" w:fill="E9F5F1"/>
            <w:tcMar>
              <w:top w:w="120" w:type="dxa"/>
              <w:left w:w="160" w:type="dxa"/>
              <w:bottom w:w="120" w:type="dxa"/>
              <w:right w:w="160" w:type="dxa"/>
            </w:tcMar>
          </w:tcPr>
          <w:p w:rsidR="00591AAC" w:rsidRDefault="00B15EEC" w14:paraId="004D7749" w14:textId="77777777">
            <w:pPr>
              <w:spacing w:after="20"/>
            </w:pPr>
            <w:r>
              <w:rPr>
                <w:b/>
                <w:bCs/>
                <w:color w:val="0F6E56"/>
                <w:sz w:val="22"/>
                <w:szCs w:val="22"/>
              </w:rPr>
              <w:t>5–10 years</w:t>
            </w:r>
          </w:p>
          <w:p w:rsidR="00591AAC" w:rsidRDefault="00B15EEC" w14:paraId="6CBE572D" w14:textId="77777777">
            <w:r>
              <w:rPr>
                <w:color w:val="5B6470"/>
                <w:sz w:val="18"/>
                <w:szCs w:val="18"/>
              </w:rPr>
              <w:t>Typical experience</w:t>
            </w:r>
          </w:p>
        </w:tc>
        <w:tc>
          <w:tcPr>
            <w:tcW w:w="3120" w:type="dxa"/>
            <w:tcBorders>
              <w:top w:val="none" w:color="FFFFFF" w:sz="0" w:space="0"/>
              <w:left w:val="none" w:color="FFFFFF" w:sz="0" w:space="0"/>
              <w:bottom w:val="none" w:color="FFFFFF" w:sz="0" w:space="0"/>
              <w:right w:val="none" w:color="FFFFFF" w:sz="0" w:space="0"/>
            </w:tcBorders>
            <w:shd w:val="clear" w:color="auto" w:fill="E9F5F1"/>
            <w:tcMar>
              <w:top w:w="120" w:type="dxa"/>
              <w:left w:w="160" w:type="dxa"/>
              <w:bottom w:w="120" w:type="dxa"/>
              <w:right w:w="160" w:type="dxa"/>
            </w:tcMar>
          </w:tcPr>
          <w:p w:rsidR="00591AAC" w:rsidRDefault="00B15EEC" w14:paraId="41389820" w14:textId="77777777">
            <w:pPr>
              <w:spacing w:after="20"/>
            </w:pPr>
            <w:r>
              <w:rPr>
                <w:b/>
                <w:bCs/>
                <w:color w:val="0F6E56"/>
                <w:sz w:val="22"/>
                <w:szCs w:val="22"/>
              </w:rPr>
              <w:t>Senior scientist, project owner</w:t>
            </w:r>
          </w:p>
          <w:p w:rsidR="00591AAC" w:rsidRDefault="00B15EEC" w14:paraId="409C5D88" w14:textId="77777777">
            <w:r>
              <w:rPr>
                <w:color w:val="5B6470"/>
                <w:sz w:val="18"/>
                <w:szCs w:val="18"/>
              </w:rPr>
              <w:t>Seniority</w:t>
            </w:r>
          </w:p>
        </w:tc>
        <w:tc>
          <w:tcPr>
            <w:tcW w:w="3120" w:type="dxa"/>
            <w:tcBorders>
              <w:top w:val="none" w:color="FFFFFF" w:sz="0" w:space="0"/>
              <w:left w:val="none" w:color="FFFFFF" w:sz="0" w:space="0"/>
              <w:bottom w:val="none" w:color="FFFFFF" w:sz="0" w:space="0"/>
              <w:right w:val="none" w:color="FFFFFF" w:sz="0" w:space="0"/>
            </w:tcBorders>
            <w:shd w:val="clear" w:color="auto" w:fill="E9F5F1"/>
            <w:tcMar>
              <w:top w:w="120" w:type="dxa"/>
              <w:left w:w="160" w:type="dxa"/>
              <w:bottom w:w="120" w:type="dxa"/>
              <w:right w:w="160" w:type="dxa"/>
            </w:tcMar>
          </w:tcPr>
          <w:p w:rsidR="00591AAC" w:rsidRDefault="00B15EEC" w14:paraId="4AA39956" w14:textId="77777777">
            <w:pPr>
              <w:spacing w:after="20"/>
            </w:pPr>
            <w:r>
              <w:rPr>
                <w:b/>
                <w:bCs/>
                <w:color w:val="0F6E56"/>
                <w:sz w:val="22"/>
                <w:szCs w:val="22"/>
              </w:rPr>
              <w:t>Often internal referral</w:t>
            </w:r>
          </w:p>
          <w:p w:rsidR="00591AAC" w:rsidRDefault="00B15EEC" w14:paraId="7A47792C" w14:textId="77777777">
            <w:r>
              <w:rPr>
                <w:color w:val="5B6470"/>
                <w:sz w:val="18"/>
                <w:szCs w:val="18"/>
              </w:rPr>
              <w:t>Primary channel</w:t>
            </w:r>
          </w:p>
        </w:tc>
      </w:tr>
    </w:tbl>
    <w:p w:rsidR="00591AAC" w:rsidRDefault="00591AAC" w14:paraId="6A05A809" w14:textId="77777777">
      <w:pPr>
        <w:spacing w:after="120"/>
      </w:pPr>
    </w:p>
    <w:p w:rsidR="00591AAC" w:rsidRDefault="00B15EEC" w14:paraId="170A7C2F" w14:textId="77777777">
      <w:pPr>
        <w:spacing w:before="260" w:after="100"/>
      </w:pPr>
      <w:r>
        <w:rPr>
          <w:b/>
          <w:bCs/>
          <w:color w:val="0F6E56"/>
          <w:sz w:val="24"/>
          <w:szCs w:val="24"/>
        </w:rPr>
        <w:t>Who they are</w:t>
      </w:r>
    </w:p>
    <w:p w:rsidR="00591AAC" w:rsidRDefault="00B15EEC" w14:paraId="3CEDAA60" w14:textId="77777777">
      <w:pPr>
        <w:spacing w:after="160"/>
      </w:pPr>
      <w:r>
        <w:rPr>
          <w:sz w:val="21"/>
          <w:szCs w:val="21"/>
        </w:rPr>
        <w:t xml:space="preserve">Scientists who've grown into ownership of a project or process area and become the point person for anything a standard workflow doesn't cover. This persona reads less senior than our first draft suggested — our best current reference is a repeat customer titled Senior Scientist I, Purification Development at AbbVie, not a lab head or director. A PhD is possible but shouldn't be assumed. The defining trait isn't rank or credentials — it's that they've outgrown standard specs and now make requests a catalog </w:t>
      </w:r>
      <w:r>
        <w:rPr>
          <w:sz w:val="21"/>
          <w:szCs w:val="21"/>
        </w:rPr>
        <w:t>vendor can't handle, like aged resin for a specific project.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26"/>
        <w:gridCol w:w="7754"/>
      </w:tblGrid>
      <w:tr w:rsidR="00591AAC" w14:paraId="3D3372E6" w14:textId="77777777">
        <w:tblPrEx>
          <w:tblCellMar>
            <w:top w:w="0" w:type="dxa"/>
            <w:bottom w:w="0" w:type="dxa"/>
          </w:tblCellMar>
        </w:tblPrEx>
        <w:tc>
          <w:tcPr>
            <w:tcW w:w="2160" w:type="dxa"/>
            <w:tcBorders>
              <w:top w:val="single" w:color="DDDDDD" w:sz="4" w:space="0"/>
              <w:left w:val="none" w:color="FFFFFF" w:sz="0" w:space="0"/>
              <w:bottom w:val="single" w:color="DDDDDD" w:sz="4" w:space="0"/>
              <w:right w:val="none" w:color="FFFFFF" w:sz="0" w:space="0"/>
            </w:tcBorders>
            <w:tcMar>
              <w:top w:w="100" w:type="dxa"/>
              <w:left w:w="0" w:type="dxa"/>
              <w:bottom w:w="100" w:type="dxa"/>
              <w:right w:w="100" w:type="dxa"/>
            </w:tcMar>
          </w:tcPr>
          <w:p w:rsidR="00591AAC" w:rsidRDefault="00B15EEC" w14:paraId="172DBF6E" w14:textId="77777777">
            <w:r>
              <w:rPr>
                <w:b/>
                <w:bCs/>
                <w:color w:val="0F6E56"/>
              </w:rPr>
              <w:t>Job titles</w:t>
            </w:r>
          </w:p>
        </w:tc>
        <w:tc>
          <w:tcPr>
            <w:tcW w:w="7200" w:type="dxa"/>
            <w:tcBorders>
              <w:top w:val="single" w:color="DDDDDD" w:sz="4" w:space="0"/>
              <w:left w:val="none" w:color="FFFFFF" w:sz="0" w:space="0"/>
              <w:bottom w:val="single" w:color="DDDDDD" w:sz="4" w:space="0"/>
              <w:right w:val="none" w:color="FFFFFF" w:sz="0" w:space="0"/>
            </w:tcBorders>
            <w:tcMar>
              <w:top w:w="100" w:type="dxa"/>
              <w:left w:w="100" w:type="dxa"/>
              <w:bottom w:w="100" w:type="dxa"/>
              <w:right w:w="0" w:type="dxa"/>
            </w:tcMar>
          </w:tcPr>
          <w:p w:rsidR="00591AAC" w:rsidRDefault="00B15EEC" w14:paraId="6A7D19E1" w14:textId="77777777">
            <w:r>
              <w:t>Senior Scientist, Scientist II/III, Group Lead — Purification Process Development (reference: Senior Scientist I, Purification Development, AbbVie)</w:t>
            </w:r>
          </w:p>
        </w:tc>
      </w:tr>
      <w:tr w:rsidR="00591AAC" w14:paraId="7D978948" w14:textId="77777777">
        <w:tblPrEx>
          <w:tblCellMar>
            <w:top w:w="0" w:type="dxa"/>
            <w:bottom w:w="0" w:type="dxa"/>
          </w:tblCellMar>
        </w:tblPrEx>
        <w:tc>
          <w:tcPr>
            <w:tcW w:w="2160" w:type="dxa"/>
            <w:tcBorders>
              <w:top w:val="single" w:color="DDDDDD" w:sz="4" w:space="0"/>
              <w:left w:val="none" w:color="FFFFFF" w:sz="0" w:space="0"/>
              <w:bottom w:val="single" w:color="DDDDDD" w:sz="4" w:space="0"/>
              <w:right w:val="none" w:color="FFFFFF" w:sz="0" w:space="0"/>
            </w:tcBorders>
            <w:tcMar>
              <w:top w:w="100" w:type="dxa"/>
              <w:left w:w="0" w:type="dxa"/>
              <w:bottom w:w="100" w:type="dxa"/>
              <w:right w:w="100" w:type="dxa"/>
            </w:tcMar>
          </w:tcPr>
          <w:p w:rsidR="00591AAC" w:rsidRDefault="00B15EEC" w14:paraId="3C1C2DC7" w14:textId="77777777">
            <w:r>
              <w:rPr>
                <w:b/>
                <w:bCs/>
                <w:color w:val="0F6E56"/>
              </w:rPr>
              <w:t>Education</w:t>
            </w:r>
          </w:p>
        </w:tc>
        <w:tc>
          <w:tcPr>
            <w:tcW w:w="7200" w:type="dxa"/>
            <w:tcBorders>
              <w:top w:val="single" w:color="DDDDDD" w:sz="4" w:space="0"/>
              <w:left w:val="none" w:color="FFFFFF" w:sz="0" w:space="0"/>
              <w:bottom w:val="single" w:color="DDDDDD" w:sz="4" w:space="0"/>
              <w:right w:val="none" w:color="FFFFFF" w:sz="0" w:space="0"/>
            </w:tcBorders>
            <w:tcMar>
              <w:top w:w="100" w:type="dxa"/>
              <w:left w:w="100" w:type="dxa"/>
              <w:bottom w:w="100" w:type="dxa"/>
              <w:right w:w="0" w:type="dxa"/>
            </w:tcMar>
          </w:tcPr>
          <w:p w:rsidR="00591AAC" w:rsidRDefault="00B15EEC" w14:paraId="473B9E14" w14:textId="77777777">
            <w:r>
              <w:t>Bachelor’s or Master’s degree; a PhD is possible but not assumed</w:t>
            </w:r>
          </w:p>
        </w:tc>
      </w:tr>
      <w:tr w:rsidR="00591AAC" w14:paraId="7AE56A7E" w14:textId="77777777">
        <w:tblPrEx>
          <w:tblCellMar>
            <w:top w:w="0" w:type="dxa"/>
            <w:bottom w:w="0" w:type="dxa"/>
          </w:tblCellMar>
        </w:tblPrEx>
        <w:tc>
          <w:tcPr>
            <w:tcW w:w="2160" w:type="dxa"/>
            <w:tcBorders>
              <w:top w:val="single" w:color="DDDDDD" w:sz="4" w:space="0"/>
              <w:left w:val="none" w:color="FFFFFF" w:sz="0" w:space="0"/>
              <w:bottom w:val="single" w:color="DDDDDD" w:sz="4" w:space="0"/>
              <w:right w:val="none" w:color="FFFFFF" w:sz="0" w:space="0"/>
            </w:tcBorders>
            <w:tcMar>
              <w:top w:w="100" w:type="dxa"/>
              <w:left w:w="0" w:type="dxa"/>
              <w:bottom w:w="100" w:type="dxa"/>
              <w:right w:w="100" w:type="dxa"/>
            </w:tcMar>
          </w:tcPr>
          <w:p w:rsidR="00591AAC" w:rsidRDefault="00B15EEC" w14:paraId="03177CE1" w14:textId="77777777">
            <w:r>
              <w:rPr>
                <w:b/>
                <w:bCs/>
                <w:color w:val="0F6E56"/>
              </w:rPr>
              <w:t>Career stage</w:t>
            </w:r>
          </w:p>
        </w:tc>
        <w:tc>
          <w:tcPr>
            <w:tcW w:w="7200" w:type="dxa"/>
            <w:tcBorders>
              <w:top w:val="single" w:color="DDDDDD" w:sz="4" w:space="0"/>
              <w:left w:val="none" w:color="FFFFFF" w:sz="0" w:space="0"/>
              <w:bottom w:val="single" w:color="DDDDDD" w:sz="4" w:space="0"/>
              <w:right w:val="none" w:color="FFFFFF" w:sz="0" w:space="0"/>
            </w:tcBorders>
            <w:tcMar>
              <w:top w:w="100" w:type="dxa"/>
              <w:left w:w="100" w:type="dxa"/>
              <w:bottom w:w="100" w:type="dxa"/>
              <w:right w:w="0" w:type="dxa"/>
            </w:tcMar>
          </w:tcPr>
          <w:p w:rsidR="00591AAC" w:rsidRDefault="00B15EEC" w14:paraId="5803DB50" w14:textId="77777777">
            <w:r>
              <w:t>Roughly 5–10 years experience. Owns a project or process area and sets some of its direction, though may still report to a lab head.</w:t>
            </w:r>
          </w:p>
        </w:tc>
      </w:tr>
      <w:tr w:rsidR="00591AAC" w14:paraId="1F4CFE9D" w14:textId="77777777">
        <w:tblPrEx>
          <w:tblCellMar>
            <w:top w:w="0" w:type="dxa"/>
            <w:bottom w:w="0" w:type="dxa"/>
          </w:tblCellMar>
        </w:tblPrEx>
        <w:tc>
          <w:tcPr>
            <w:tcW w:w="2160" w:type="dxa"/>
            <w:tcBorders>
              <w:top w:val="single" w:color="DDDDDD" w:sz="4" w:space="0"/>
              <w:left w:val="none" w:color="FFFFFF" w:sz="0" w:space="0"/>
              <w:bottom w:val="single" w:color="DDDDDD" w:sz="4" w:space="0"/>
              <w:right w:val="none" w:color="FFFFFF" w:sz="0" w:space="0"/>
            </w:tcBorders>
            <w:tcMar>
              <w:top w:w="100" w:type="dxa"/>
              <w:left w:w="0" w:type="dxa"/>
              <w:bottom w:w="100" w:type="dxa"/>
              <w:right w:w="100" w:type="dxa"/>
            </w:tcMar>
          </w:tcPr>
          <w:p w:rsidR="00591AAC" w:rsidRDefault="00B15EEC" w14:paraId="3F6287D1" w14:textId="77777777">
            <w:r>
              <w:rPr>
                <w:b/>
                <w:bCs/>
                <w:color w:val="0F6E56"/>
              </w:rPr>
              <w:t>What sets them apart</w:t>
            </w:r>
          </w:p>
        </w:tc>
        <w:tc>
          <w:tcPr>
            <w:tcW w:w="7200" w:type="dxa"/>
            <w:tcBorders>
              <w:top w:val="single" w:color="DDDDDD" w:sz="4" w:space="0"/>
              <w:left w:val="none" w:color="FFFFFF" w:sz="0" w:space="0"/>
              <w:bottom w:val="single" w:color="DDDDDD" w:sz="4" w:space="0"/>
              <w:right w:val="none" w:color="FFFFFF" w:sz="0" w:space="0"/>
            </w:tcBorders>
            <w:tcMar>
              <w:top w:w="100" w:type="dxa"/>
              <w:left w:w="100" w:type="dxa"/>
              <w:bottom w:w="100" w:type="dxa"/>
              <w:right w:w="0" w:type="dxa"/>
            </w:tcMar>
          </w:tcPr>
          <w:p w:rsidR="00591AAC" w:rsidRDefault="00B15EEC" w14:paraId="2C4220D7" w14:textId="77777777">
            <w:r>
              <w:t>Non-standard technical requests — e.g. aged resin or other custom parameters — that a bench-level workflow wouldn’t call for</w:t>
            </w:r>
          </w:p>
        </w:tc>
      </w:tr>
    </w:tbl>
    <w:p w:rsidR="00591AAC" w:rsidRDefault="00591AAC" w14:paraId="5A39BBE3" w14:textId="77777777">
      <w:pPr>
        <w:spacing w:after="120"/>
      </w:pPr>
    </w:p>
    <w:p w:rsidR="00591AAC" w:rsidRDefault="00B15EEC" w14:paraId="53F2DF76" w14:textId="77777777">
      <w:pPr>
        <w:spacing w:before="260" w:after="100"/>
      </w:pPr>
      <w:r>
        <w:rPr>
          <w:b/>
          <w:bCs/>
          <w:color w:val="0F6E56"/>
          <w:sz w:val="24"/>
          <w:szCs w:val="24"/>
        </w:rPr>
        <w:t>What they do</w:t>
      </w:r>
    </w:p>
    <w:p w:rsidR="00591AAC" w:rsidRDefault="00B15EEC" w14:paraId="6058F522" w14:textId="77777777">
      <w:pPr>
        <w:pStyle w:val="ListParagraph"/>
        <w:numPr>
          <w:ilvl w:val="0"/>
          <w:numId w:val="2"/>
        </w:numPr>
        <w:spacing w:after="70"/>
      </w:pPr>
      <w:r>
        <w:rPr>
          <w:sz w:val="21"/>
          <w:szCs w:val="21"/>
        </w:rPr>
        <w:t>Own a specific process or project area within the broader development program</w:t>
      </w:r>
    </w:p>
    <w:p w:rsidR="00591AAC" w:rsidRDefault="00B15EEC" w14:paraId="2A8F4A01" w14:textId="77777777">
      <w:pPr>
        <w:pStyle w:val="ListParagraph"/>
        <w:numPr>
          <w:ilvl w:val="0"/>
          <w:numId w:val="2"/>
        </w:numPr>
        <w:spacing w:after="70"/>
      </w:pPr>
      <w:r>
        <w:rPr>
          <w:sz w:val="21"/>
          <w:szCs w:val="21"/>
        </w:rPr>
        <w:t>Field and specify non-standard technical requests — like aged resin or unusual configurations — that go beyond a catalog part</w:t>
      </w:r>
    </w:p>
    <w:p w:rsidR="00591AAC" w:rsidRDefault="00B15EEC" w14:paraId="2CDD7FE8" w14:textId="77777777">
      <w:pPr>
        <w:pStyle w:val="ListParagraph"/>
        <w:numPr>
          <w:ilvl w:val="0"/>
          <w:numId w:val="2"/>
        </w:numPr>
        <w:spacing w:after="70"/>
      </w:pPr>
      <w:r>
        <w:rPr>
          <w:sz w:val="21"/>
          <w:szCs w:val="21"/>
        </w:rPr>
        <w:t>Evaluate or approve a vendor for their project, sometimes after a Bench Scientist on their team has already vetted one</w:t>
      </w:r>
    </w:p>
    <w:p w:rsidR="00591AAC" w:rsidP="392E4F41" w:rsidRDefault="00B15EEC" w14:paraId="5C21BDF5" w14:textId="77777777">
      <w:pPr>
        <w:pStyle w:val="ListParagraph"/>
        <w:numPr>
          <w:ilvl w:val="0"/>
          <w:numId w:val="2"/>
        </w:numPr>
        <w:spacing w:after="70"/>
        <w:rPr>
          <w:sz w:val="21"/>
          <w:szCs w:val="21"/>
        </w:rPr>
      </w:pPr>
      <w:r w:rsidRPr="392E4F41" w:rsidR="00B15EEC">
        <w:rPr>
          <w:sz w:val="21"/>
          <w:szCs w:val="21"/>
        </w:rPr>
        <w:t>Mentor or oversee the day-to-day work of bench-level scientists</w:t>
      </w:r>
    </w:p>
    <w:p w:rsidR="392E4F41" w:rsidP="392E4F41" w:rsidRDefault="392E4F41" w14:paraId="59EADF10" w14:textId="2150B764">
      <w:pPr>
        <w:pStyle w:val="Normal"/>
        <w:spacing w:after="70"/>
        <w:rPr>
          <w:sz w:val="21"/>
          <w:szCs w:val="21"/>
        </w:rPr>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70"/>
      </w:tblGrid>
      <w:tr w:rsidR="00591AAC" w14:paraId="2C42C266" w14:textId="77777777">
        <w:tblPrEx>
          <w:tblCellMar>
            <w:top w:w="0" w:type="dxa"/>
            <w:bottom w:w="0" w:type="dxa"/>
          </w:tblCellMar>
        </w:tblPrEx>
        <w:tc>
          <w:tcPr>
            <w:tcW w:w="9360" w:type="dxa"/>
            <w:tcBorders>
              <w:top w:val="single" w:color="0F6E56" w:sz="4" w:space="0"/>
              <w:left w:val="single" w:color="0F6E56" w:sz="4" w:space="0"/>
              <w:bottom w:val="single" w:color="0F6E56" w:sz="4" w:space="0"/>
              <w:right w:val="single" w:color="0F6E56" w:sz="4" w:space="0"/>
            </w:tcBorders>
            <w:shd w:val="clear" w:color="auto" w:fill="E9F5F1"/>
            <w:tcMar>
              <w:top w:w="160" w:type="dxa"/>
              <w:left w:w="200" w:type="dxa"/>
              <w:bottom w:w="160" w:type="dxa"/>
              <w:right w:w="200" w:type="dxa"/>
            </w:tcMar>
          </w:tcPr>
          <w:p w:rsidR="00591AAC" w:rsidRDefault="00B15EEC" w14:paraId="55D60DCF" w14:textId="77777777">
            <w:pPr>
              <w:spacing w:after="60"/>
            </w:pPr>
            <w:r>
              <w:rPr>
                <w:b/>
                <w:bCs/>
                <w:color w:val="0F6E56"/>
                <w:sz w:val="21"/>
                <w:szCs w:val="21"/>
              </w:rPr>
              <w:t>Key insight: the differentiator is the request, not the seniority</w:t>
            </w:r>
          </w:p>
          <w:p w:rsidR="00591AAC" w:rsidRDefault="00B15EEC" w14:paraId="4F6467D1" w14:textId="77777777">
            <w:r>
              <w:rPr>
                <w:sz w:val="21"/>
                <w:szCs w:val="21"/>
              </w:rPr>
              <w:t>This persona isn’t defined by rank or a PhD — it’s defined by having outgrown standard specs. A request like aged resin is the signal: they need something a catalog vendor can’t or won’t accommodate, and Argento’s ability to say yes to that is the value proposition, not labor savings.</w:t>
            </w:r>
          </w:p>
        </w:tc>
      </w:tr>
    </w:tbl>
    <w:p w:rsidR="00591AAC" w:rsidRDefault="00591AAC" w14:paraId="41C8F396" w14:textId="77777777">
      <w:pPr>
        <w:spacing w:after="120"/>
      </w:pPr>
    </w:p>
    <w:p w:rsidR="392E4F41" w:rsidP="392E4F41" w:rsidRDefault="392E4F41" w14:paraId="581746F2" w14:textId="5D0E2CD7">
      <w:pPr>
        <w:spacing w:before="260" w:after="100"/>
        <w:rPr>
          <w:b w:val="1"/>
          <w:bCs w:val="1"/>
          <w:color w:val="0F6E56"/>
          <w:sz w:val="24"/>
          <w:szCs w:val="24"/>
        </w:rPr>
      </w:pPr>
    </w:p>
    <w:p w:rsidR="00591AAC" w:rsidRDefault="00B15EEC" w14:paraId="456813D6" w14:textId="77777777">
      <w:pPr>
        <w:spacing w:before="260" w:after="100"/>
      </w:pPr>
      <w:r>
        <w:rPr>
          <w:b/>
          <w:bCs/>
          <w:color w:val="0F6E56"/>
          <w:sz w:val="24"/>
          <w:szCs w:val="24"/>
        </w:rPr>
        <w:t>How they think and decide</w:t>
      </w:r>
    </w:p>
    <w:p w:rsidR="00591AAC" w:rsidRDefault="00B15EEC" w14:paraId="3AD7E5BE" w14:textId="77777777">
      <w:pPr>
        <w:spacing w:before="200" w:after="80"/>
      </w:pPr>
      <w:r>
        <w:rPr>
          <w:b/>
          <w:bCs/>
          <w:color w:val="0F6E56"/>
          <w:sz w:val="21"/>
          <w:szCs w:val="21"/>
        </w:rPr>
        <w:t>Motivations</w:t>
      </w:r>
    </w:p>
    <w:p w:rsidR="00591AAC" w:rsidRDefault="00B15EEC" w14:paraId="67CF2E7E" w14:textId="77777777">
      <w:pPr>
        <w:pStyle w:val="ListParagraph"/>
        <w:numPr>
          <w:ilvl w:val="0"/>
          <w:numId w:val="2"/>
        </w:numPr>
        <w:spacing w:after="70"/>
      </w:pPr>
      <w:r>
        <w:rPr>
          <w:sz w:val="21"/>
          <w:szCs w:val="21"/>
        </w:rPr>
        <w:t>Getting non-standard requests fulfilled — aged resin and similar asks are the clearest signal of this persona</w:t>
      </w:r>
    </w:p>
    <w:p w:rsidR="00591AAC" w:rsidRDefault="00B15EEC" w14:paraId="636472DF" w14:textId="77777777">
      <w:pPr>
        <w:pStyle w:val="ListParagraph"/>
        <w:numPr>
          <w:ilvl w:val="0"/>
          <w:numId w:val="2"/>
        </w:numPr>
        <w:spacing w:after="70"/>
      </w:pPr>
      <w:r>
        <w:rPr>
          <w:sz w:val="21"/>
          <w:szCs w:val="21"/>
        </w:rPr>
        <w:t>Reliability across a project, since they may be ordering for multiple team members or phases</w:t>
      </w:r>
    </w:p>
    <w:p w:rsidR="00591AAC" w:rsidRDefault="00B15EEC" w14:paraId="45342918" w14:textId="77777777">
      <w:pPr>
        <w:pStyle w:val="ListParagraph"/>
        <w:numPr>
          <w:ilvl w:val="0"/>
          <w:numId w:val="2"/>
        </w:numPr>
        <w:spacing w:after="70"/>
      </w:pPr>
      <w:r>
        <w:rPr>
          <w:sz w:val="21"/>
          <w:szCs w:val="21"/>
        </w:rPr>
        <w:t>Efficiency for their team — outsourcing frees the group’s time for higher-value work</w:t>
      </w:r>
    </w:p>
    <w:p w:rsidR="00591AAC" w:rsidRDefault="00B15EEC" w14:paraId="687A514F" w14:textId="77777777">
      <w:pPr>
        <w:spacing w:before="200" w:after="80"/>
      </w:pPr>
      <w:r>
        <w:rPr>
          <w:b/>
          <w:bCs/>
          <w:color w:val="0F6E56"/>
          <w:sz w:val="21"/>
          <w:szCs w:val="21"/>
        </w:rPr>
        <w:t>Discovery and purchase path</w:t>
      </w:r>
    </w:p>
    <w:p w:rsidR="00591AAC" w:rsidRDefault="00B15EEC" w14:paraId="4FF88398" w14:textId="77777777">
      <w:pPr>
        <w:pStyle w:val="ListParagraph"/>
        <w:numPr>
          <w:ilvl w:val="0"/>
          <w:numId w:val="2"/>
        </w:numPr>
        <w:spacing w:after="70"/>
      </w:pPr>
      <w:r>
        <w:rPr>
          <w:sz w:val="21"/>
          <w:szCs w:val="21"/>
        </w:rPr>
        <w:t>Argento typically earns this relationship by working its way up — starting with a Bench Scientist on the team, then growing into this persona as trust builds, rather than starting cold at this level</w:t>
      </w:r>
    </w:p>
    <w:p w:rsidR="00591AAC" w:rsidRDefault="00B15EEC" w14:paraId="556E9282" w14:textId="77777777">
      <w:pPr>
        <w:pStyle w:val="ListParagraph"/>
        <w:numPr>
          <w:ilvl w:val="0"/>
          <w:numId w:val="2"/>
        </w:numPr>
        <w:spacing w:after="70"/>
      </w:pPr>
      <w:r>
        <w:rPr>
          <w:sz w:val="21"/>
          <w:szCs w:val="21"/>
        </w:rPr>
        <w:t>Also discovers vendors through peer networks or conferences, but this is the secondary path, not the primary one</w:t>
      </w:r>
    </w:p>
    <w:p w:rsidR="00591AAC" w:rsidRDefault="00B15EEC" w14:paraId="7E6E4D6B" w14:textId="77777777">
      <w:pPr>
        <w:pStyle w:val="ListParagraph"/>
        <w:numPr>
          <w:ilvl w:val="0"/>
          <w:numId w:val="2"/>
        </w:numPr>
        <w:spacing w:after="70"/>
      </w:pPr>
      <w:r>
        <w:rPr>
          <w:sz w:val="21"/>
          <w:szCs w:val="21"/>
        </w:rPr>
        <w:t>Has more purchasing influence than the Bench Scientist, though not always full budget authority</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70"/>
      </w:tblGrid>
      <w:tr w:rsidR="00591AAC" w14:paraId="0721C583" w14:textId="77777777">
        <w:tblPrEx>
          <w:tblCellMar>
            <w:top w:w="0" w:type="dxa"/>
            <w:bottom w:w="0" w:type="dxa"/>
          </w:tblCellMar>
        </w:tblPrEx>
        <w:tc>
          <w:tcPr>
            <w:tcW w:w="9360" w:type="dxa"/>
            <w:tcBorders>
              <w:top w:val="single" w:color="0F6E56" w:sz="4" w:space="0"/>
              <w:left w:val="single" w:color="0F6E56" w:sz="4" w:space="0"/>
              <w:bottom w:val="single" w:color="0F6E56" w:sz="4" w:space="0"/>
              <w:right w:val="single" w:color="0F6E56" w:sz="4" w:space="0"/>
            </w:tcBorders>
            <w:shd w:val="clear" w:color="auto" w:fill="E9F5F1"/>
            <w:tcMar>
              <w:top w:w="160" w:type="dxa"/>
              <w:left w:w="200" w:type="dxa"/>
              <w:bottom w:w="160" w:type="dxa"/>
              <w:right w:w="200" w:type="dxa"/>
            </w:tcMar>
          </w:tcPr>
          <w:p w:rsidR="00591AAC" w:rsidRDefault="00B15EEC" w14:paraId="1159F8BF" w14:textId="77777777">
            <w:pPr>
              <w:spacing w:after="60"/>
            </w:pPr>
            <w:r>
              <w:rPr>
                <w:b/>
                <w:bCs/>
                <w:color w:val="0F6E56"/>
                <w:sz w:val="21"/>
                <w:szCs w:val="21"/>
              </w:rPr>
              <w:t>What the website needs to do for this persona</w:t>
            </w:r>
          </w:p>
          <w:p w:rsidR="00591AAC" w:rsidRDefault="00B15EEC" w14:paraId="78B37C45" w14:textId="77777777">
            <w:r>
              <w:rPr>
                <w:sz w:val="21"/>
                <w:szCs w:val="21"/>
              </w:rPr>
              <w:t>Prove Argento can say yes to the non-standard ask — specific examples like aged resin, clear customization range, and responsiveness to unusual requests. This buyer isn’t swayed by “save time” messaging or credential-heavy technical depth; they want evidence Argento won’t turn away the request a bigger supplier would.</w:t>
            </w:r>
          </w:p>
        </w:tc>
      </w:tr>
      <w:tr w:rsidR="00591AAC" w14:paraId="52A30800" w14:textId="77777777">
        <w:tblPrEx>
          <w:tblCellMar>
            <w:top w:w="0" w:type="dxa"/>
            <w:bottom w:w="0" w:type="dxa"/>
          </w:tblCellMar>
        </w:tblPrEx>
        <w:tc>
          <w:tcPr>
            <w:tcW w:w="9360" w:type="dxa"/>
            <w:tcBorders>
              <w:top w:val="single" w:color="1B2A4A" w:sz="4" w:space="0"/>
              <w:left w:val="single" w:color="1B2A4A" w:sz="4" w:space="0"/>
              <w:bottom w:val="single" w:color="1B2A4A" w:sz="4" w:space="0"/>
              <w:right w:val="single" w:color="1B2A4A" w:sz="4" w:space="0"/>
            </w:tcBorders>
            <w:shd w:val="clear" w:color="auto" w:fill="F2F4F7"/>
            <w:tcMar>
              <w:top w:w="160" w:type="dxa"/>
              <w:left w:w="200" w:type="dxa"/>
              <w:bottom w:w="160" w:type="dxa"/>
              <w:right w:w="200" w:type="dxa"/>
            </w:tcMar>
          </w:tcPr>
          <w:p w:rsidR="00591AAC" w:rsidRDefault="00B15EEC" w14:paraId="4454A658" w14:textId="77777777">
            <w:pPr>
              <w:spacing w:after="60"/>
            </w:pPr>
            <w:r>
              <w:rPr>
                <w:b/>
                <w:bCs/>
                <w:color w:val="1B2A4A"/>
                <w:sz w:val="21"/>
                <w:szCs w:val="21"/>
              </w:rPr>
              <w:t>Relationship pattern to design around</w:t>
            </w:r>
          </w:p>
          <w:p w:rsidR="00591AAC" w:rsidRDefault="00B15EEC" w14:paraId="191D4A82" w14:textId="77777777">
            <w:r>
              <w:rPr>
                <w:sz w:val="21"/>
                <w:szCs w:val="21"/>
              </w:rPr>
              <w:t>Argento typically earns the Bench Scientist’s trust first, and the relationship then grows to include the Senior Technical Lead as that trust builds within the same team. The site and content strategy should support this progression — e.g. content the Bench Scientist can pass upward — rather than treating the two personas as separate, cold-entry audiences.</w:t>
            </w:r>
          </w:p>
        </w:tc>
      </w:tr>
    </w:tbl>
    <w:p w:rsidR="00591AAC" w:rsidP="392E4F41" w:rsidRDefault="00591AAC" w14:paraId="72A3D3EC" w14:textId="77777777">
      <w:pPr>
        <w:pBdr>
          <w:bottom w:val="single" w:color="CCCCCC" w:sz="6" w:space="4"/>
        </w:pBdr>
        <w:spacing w:before="240" w:after="240"/>
      </w:pPr>
    </w:p>
    <w:p w:rsidR="392E4F41" w:rsidRDefault="392E4F41" w14:paraId="433DC68F" w14:textId="2DF24EB3">
      <w:r>
        <w:br w:type="page"/>
      </w:r>
    </w:p>
    <w:p w:rsidR="392E4F41" w:rsidP="392E4F41" w:rsidRDefault="392E4F41" w14:paraId="561A9062" w14:textId="6103E7C3">
      <w:pPr>
        <w:pStyle w:val="Normal"/>
        <w:pBdr>
          <w:bottom w:val="single" w:color="CCCCCC" w:sz="6" w:space="4"/>
        </w:pBdr>
        <w:spacing w:before="240" w:after="240"/>
      </w:pPr>
    </w:p>
    <w:p w:rsidR="00591AAC" w:rsidP="392E4F41" w:rsidRDefault="00B15EEC" w14:paraId="687AAE84" w14:textId="77777777">
      <w:pPr>
        <w:pStyle w:val="Heading1"/>
        <w:spacing w:before="420" w:after="60"/>
        <w:rPr>
          <w:b w:val="1"/>
          <w:bCs w:val="1"/>
          <w:color w:val="1B2A4A"/>
          <w:sz w:val="24"/>
          <w:szCs w:val="24"/>
        </w:rPr>
      </w:pPr>
      <w:r w:rsidRPr="392E4F41" w:rsidR="00B15EEC">
        <w:rPr>
          <w:b w:val="1"/>
          <w:bCs w:val="1"/>
          <w:color w:val="1B2A4A"/>
          <w:sz w:val="24"/>
          <w:szCs w:val="24"/>
        </w:rPr>
        <w:t>PERSONA 3 OF 3 — NEW</w:t>
      </w:r>
    </w:p>
    <w:p w:rsidR="00591AAC" w:rsidRDefault="00B15EEC" w14:paraId="7F0110A7" w14:textId="77777777">
      <w:pPr>
        <w:pStyle w:val="Heading1"/>
        <w:spacing w:before="420" w:after="60"/>
      </w:pPr>
      <w:r>
        <w:rPr>
          <w:b/>
          <w:bCs/>
          <w:color w:val="9A6A00"/>
        </w:rPr>
        <w:t>The Safety &amp; Facilities Owner</w:t>
      </w:r>
    </w:p>
    <w:p w:rsidR="00591AAC" w:rsidRDefault="00B15EEC" w14:paraId="218EA4D3" w14:textId="77777777">
      <w:pPr>
        <w:spacing w:after="200"/>
      </w:pPr>
      <w:r>
        <w:rPr>
          <w:i/>
          <w:iCs/>
          <w:color w:val="5B6470"/>
          <w:sz w:val="22"/>
          <w:szCs w:val="22"/>
        </w:rPr>
        <w:t>Compliance and incident prevention — not bench chromatography</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360"/>
        <w:gridCol w:w="3360"/>
        <w:gridCol w:w="3360"/>
      </w:tblGrid>
      <w:tr w:rsidR="00591AAC" w14:paraId="0336B3CC" w14:textId="77777777">
        <w:tblPrEx>
          <w:tblCellMar>
            <w:top w:w="0" w:type="dxa"/>
            <w:bottom w:w="0" w:type="dxa"/>
          </w:tblCellMar>
        </w:tblPrEx>
        <w:tc>
          <w:tcPr>
            <w:tcW w:w="3120" w:type="dxa"/>
            <w:tcBorders>
              <w:top w:val="none" w:color="FFFFFF" w:sz="0" w:space="0"/>
              <w:left w:val="none" w:color="FFFFFF" w:sz="0" w:space="0"/>
              <w:bottom w:val="none" w:color="FFFFFF" w:sz="0" w:space="0"/>
              <w:right w:val="none" w:color="FFFFFF" w:sz="0" w:space="0"/>
            </w:tcBorders>
            <w:shd w:val="clear" w:color="auto" w:fill="FBF3E3"/>
            <w:tcMar>
              <w:top w:w="120" w:type="dxa"/>
              <w:left w:w="160" w:type="dxa"/>
              <w:bottom w:w="120" w:type="dxa"/>
              <w:right w:w="160" w:type="dxa"/>
            </w:tcMar>
          </w:tcPr>
          <w:p w:rsidR="00591AAC" w:rsidRDefault="00B15EEC" w14:paraId="5E6FAACC" w14:textId="77777777">
            <w:pPr>
              <w:spacing w:after="20"/>
            </w:pPr>
            <w:r>
              <w:rPr>
                <w:b/>
                <w:bCs/>
                <w:color w:val="9A6A00"/>
                <w:sz w:val="22"/>
                <w:szCs w:val="22"/>
              </w:rPr>
              <w:t>Manager-level</w:t>
            </w:r>
          </w:p>
          <w:p w:rsidR="00591AAC" w:rsidRDefault="00B15EEC" w14:paraId="0EE478B1" w14:textId="77777777">
            <w:r>
              <w:rPr>
                <w:color w:val="5B6470"/>
                <w:sz w:val="18"/>
                <w:szCs w:val="18"/>
              </w:rPr>
              <w:t>Seniority</w:t>
            </w:r>
          </w:p>
        </w:tc>
        <w:tc>
          <w:tcPr>
            <w:tcW w:w="3120" w:type="dxa"/>
            <w:tcBorders>
              <w:top w:val="none" w:color="FFFFFF" w:sz="0" w:space="0"/>
              <w:left w:val="none" w:color="FFFFFF" w:sz="0" w:space="0"/>
              <w:bottom w:val="none" w:color="FFFFFF" w:sz="0" w:space="0"/>
              <w:right w:val="none" w:color="FFFFFF" w:sz="0" w:space="0"/>
            </w:tcBorders>
            <w:shd w:val="clear" w:color="auto" w:fill="FBF3E3"/>
            <w:tcMar>
              <w:top w:w="120" w:type="dxa"/>
              <w:left w:w="160" w:type="dxa"/>
              <w:bottom w:w="120" w:type="dxa"/>
              <w:right w:w="160" w:type="dxa"/>
            </w:tcMar>
          </w:tcPr>
          <w:p w:rsidR="00591AAC" w:rsidRDefault="00B15EEC" w14:paraId="6D2C7F97" w14:textId="77777777">
            <w:pPr>
              <w:spacing w:after="20"/>
            </w:pPr>
            <w:r>
              <w:rPr>
                <w:b/>
                <w:bCs/>
                <w:color w:val="9A6A00"/>
                <w:sz w:val="22"/>
                <w:szCs w:val="22"/>
              </w:rPr>
              <w:t>Cross-functional</w:t>
            </w:r>
          </w:p>
          <w:p w:rsidR="00591AAC" w:rsidRDefault="00B15EEC" w14:paraId="66ED67BC" w14:textId="77777777">
            <w:r>
              <w:rPr>
                <w:color w:val="5B6470"/>
                <w:sz w:val="18"/>
                <w:szCs w:val="18"/>
              </w:rPr>
              <w:t>Function</w:t>
            </w:r>
          </w:p>
        </w:tc>
        <w:tc>
          <w:tcPr>
            <w:tcW w:w="3120" w:type="dxa"/>
            <w:tcBorders>
              <w:top w:val="none" w:color="FFFFFF" w:sz="0" w:space="0"/>
              <w:left w:val="none" w:color="FFFFFF" w:sz="0" w:space="0"/>
              <w:bottom w:val="none" w:color="FFFFFF" w:sz="0" w:space="0"/>
              <w:right w:val="none" w:color="FFFFFF" w:sz="0" w:space="0"/>
            </w:tcBorders>
            <w:shd w:val="clear" w:color="auto" w:fill="FBF3E3"/>
            <w:tcMar>
              <w:top w:w="120" w:type="dxa"/>
              <w:left w:w="160" w:type="dxa"/>
              <w:bottom w:w="120" w:type="dxa"/>
              <w:right w:w="160" w:type="dxa"/>
            </w:tcMar>
          </w:tcPr>
          <w:p w:rsidR="00591AAC" w:rsidRDefault="00B15EEC" w14:paraId="7FA9EF90" w14:textId="77777777">
            <w:pPr>
              <w:spacing w:after="20"/>
            </w:pPr>
            <w:r>
              <w:rPr>
                <w:b/>
                <w:bCs/>
                <w:color w:val="9A6A00"/>
                <w:sz w:val="22"/>
                <w:szCs w:val="22"/>
              </w:rPr>
              <w:t>Unconfirmed</w:t>
            </w:r>
          </w:p>
          <w:p w:rsidR="00591AAC" w:rsidRDefault="00B15EEC" w14:paraId="34FCD0E4" w14:textId="77777777">
            <w:r>
              <w:rPr>
                <w:color w:val="5B6470"/>
                <w:sz w:val="18"/>
                <w:szCs w:val="18"/>
              </w:rPr>
              <w:t>Primary channel</w:t>
            </w:r>
          </w:p>
        </w:tc>
      </w:tr>
    </w:tbl>
    <w:p w:rsidR="00591AAC" w:rsidRDefault="00591AAC" w14:paraId="0D0B940D" w14:textId="77777777">
      <w:pPr>
        <w:spacing w:after="120"/>
      </w:pPr>
    </w:p>
    <w:p w:rsidR="00591AAC" w:rsidRDefault="00B15EEC" w14:paraId="448B9AEB" w14:textId="77777777">
      <w:pPr>
        <w:spacing w:before="260" w:after="100"/>
      </w:pPr>
      <w:r>
        <w:rPr>
          <w:b/>
          <w:bCs/>
          <w:color w:val="9A6A00"/>
          <w:sz w:val="24"/>
          <w:szCs w:val="24"/>
        </w:rPr>
        <w:t>Who they are</w:t>
      </w:r>
    </w:p>
    <w:p w:rsidR="00591AAC" w:rsidRDefault="00B15EEC" w14:paraId="7DB99298" w14:textId="77777777">
      <w:pPr>
        <w:spacing w:after="160"/>
      </w:pPr>
      <w:r>
        <w:rPr>
          <w:sz w:val="21"/>
          <w:szCs w:val="21"/>
        </w:rPr>
        <w:t>A different buyer entirely from the two chromatography personas above. This person is responsible for lab safety, compliance, or facilities operations — not for running a purification experiment. LinkedIn title data for Solvent Safety and SeptaCaps buyers points here consistently: EHS Manager, Facilities Specialist, Lab Operations Manager, Quality Scientist, and Analytical Development Manager. This is Argento’s primary buyer for Solvent Sentry.</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26"/>
        <w:gridCol w:w="7754"/>
      </w:tblGrid>
      <w:tr w:rsidR="00591AAC" w14:paraId="0C76D1C6" w14:textId="77777777">
        <w:tblPrEx>
          <w:tblCellMar>
            <w:top w:w="0" w:type="dxa"/>
            <w:bottom w:w="0" w:type="dxa"/>
          </w:tblCellMar>
        </w:tblPrEx>
        <w:tc>
          <w:tcPr>
            <w:tcW w:w="2160" w:type="dxa"/>
            <w:tcBorders>
              <w:top w:val="single" w:color="DDDDDD" w:sz="4" w:space="0"/>
              <w:left w:val="none" w:color="FFFFFF" w:sz="0" w:space="0"/>
              <w:bottom w:val="single" w:color="DDDDDD" w:sz="4" w:space="0"/>
              <w:right w:val="none" w:color="FFFFFF" w:sz="0" w:space="0"/>
            </w:tcBorders>
            <w:tcMar>
              <w:top w:w="100" w:type="dxa"/>
              <w:left w:w="0" w:type="dxa"/>
              <w:bottom w:w="100" w:type="dxa"/>
              <w:right w:w="100" w:type="dxa"/>
            </w:tcMar>
          </w:tcPr>
          <w:p w:rsidR="00591AAC" w:rsidRDefault="00B15EEC" w14:paraId="23CF9DED" w14:textId="77777777">
            <w:r>
              <w:rPr>
                <w:b/>
                <w:bCs/>
                <w:color w:val="9A6A00"/>
              </w:rPr>
              <w:t>Job titles</w:t>
            </w:r>
          </w:p>
        </w:tc>
        <w:tc>
          <w:tcPr>
            <w:tcW w:w="7200" w:type="dxa"/>
            <w:tcBorders>
              <w:top w:val="single" w:color="DDDDDD" w:sz="4" w:space="0"/>
              <w:left w:val="none" w:color="FFFFFF" w:sz="0" w:space="0"/>
              <w:bottom w:val="single" w:color="DDDDDD" w:sz="4" w:space="0"/>
              <w:right w:val="none" w:color="FFFFFF" w:sz="0" w:space="0"/>
            </w:tcBorders>
            <w:tcMar>
              <w:top w:w="100" w:type="dxa"/>
              <w:left w:w="100" w:type="dxa"/>
              <w:bottom w:w="100" w:type="dxa"/>
              <w:right w:w="0" w:type="dxa"/>
            </w:tcMar>
          </w:tcPr>
          <w:p w:rsidR="00591AAC" w:rsidRDefault="00B15EEC" w14:paraId="19A94D90" w14:textId="77777777">
            <w:r>
              <w:t>EHS Manager, Facilities Specialist, Lab Operations Manager, Quality Scientist, Analytical Development Manager</w:t>
            </w:r>
          </w:p>
        </w:tc>
      </w:tr>
      <w:tr w:rsidR="00591AAC" w14:paraId="392FEF95" w14:textId="77777777">
        <w:tblPrEx>
          <w:tblCellMar>
            <w:top w:w="0" w:type="dxa"/>
            <w:bottom w:w="0" w:type="dxa"/>
          </w:tblCellMar>
        </w:tblPrEx>
        <w:tc>
          <w:tcPr>
            <w:tcW w:w="2160" w:type="dxa"/>
            <w:tcBorders>
              <w:top w:val="single" w:color="DDDDDD" w:sz="4" w:space="0"/>
              <w:left w:val="none" w:color="FFFFFF" w:sz="0" w:space="0"/>
              <w:bottom w:val="single" w:color="DDDDDD" w:sz="4" w:space="0"/>
              <w:right w:val="none" w:color="FFFFFF" w:sz="0" w:space="0"/>
            </w:tcBorders>
            <w:tcMar>
              <w:top w:w="100" w:type="dxa"/>
              <w:left w:w="0" w:type="dxa"/>
              <w:bottom w:w="100" w:type="dxa"/>
              <w:right w:w="100" w:type="dxa"/>
            </w:tcMar>
          </w:tcPr>
          <w:p w:rsidR="00591AAC" w:rsidRDefault="00B15EEC" w14:paraId="0D02649A" w14:textId="77777777">
            <w:r>
              <w:rPr>
                <w:b/>
                <w:bCs/>
                <w:color w:val="9A6A00"/>
              </w:rPr>
              <w:t>Seniority</w:t>
            </w:r>
          </w:p>
        </w:tc>
        <w:tc>
          <w:tcPr>
            <w:tcW w:w="7200" w:type="dxa"/>
            <w:tcBorders>
              <w:top w:val="single" w:color="DDDDDD" w:sz="4" w:space="0"/>
              <w:left w:val="none" w:color="FFFFFF" w:sz="0" w:space="0"/>
              <w:bottom w:val="single" w:color="DDDDDD" w:sz="4" w:space="0"/>
              <w:right w:val="none" w:color="FFFFFF" w:sz="0" w:space="0"/>
            </w:tcBorders>
            <w:tcMar>
              <w:top w:w="100" w:type="dxa"/>
              <w:left w:w="100" w:type="dxa"/>
              <w:bottom w:w="100" w:type="dxa"/>
              <w:right w:w="0" w:type="dxa"/>
            </w:tcMar>
          </w:tcPr>
          <w:p w:rsidR="00591AAC" w:rsidRDefault="00B15EEC" w14:paraId="0223B491" w14:textId="77777777">
            <w:r>
              <w:t>Manager-level, cross-functional — sits alongside lab groups rather than inside a single PD team</w:t>
            </w:r>
          </w:p>
        </w:tc>
      </w:tr>
      <w:tr w:rsidR="00591AAC" w14:paraId="1EF03EAE" w14:textId="77777777">
        <w:tblPrEx>
          <w:tblCellMar>
            <w:top w:w="0" w:type="dxa"/>
            <w:bottom w:w="0" w:type="dxa"/>
          </w:tblCellMar>
        </w:tblPrEx>
        <w:tc>
          <w:tcPr>
            <w:tcW w:w="2160" w:type="dxa"/>
            <w:tcBorders>
              <w:top w:val="single" w:color="DDDDDD" w:sz="4" w:space="0"/>
              <w:left w:val="none" w:color="FFFFFF" w:sz="0" w:space="0"/>
              <w:bottom w:val="single" w:color="DDDDDD" w:sz="4" w:space="0"/>
              <w:right w:val="none" w:color="FFFFFF" w:sz="0" w:space="0"/>
            </w:tcBorders>
            <w:tcMar>
              <w:top w:w="100" w:type="dxa"/>
              <w:left w:w="0" w:type="dxa"/>
              <w:bottom w:w="100" w:type="dxa"/>
              <w:right w:w="100" w:type="dxa"/>
            </w:tcMar>
          </w:tcPr>
          <w:p w:rsidR="00591AAC" w:rsidRDefault="00B15EEC" w14:paraId="0D0DA4E1" w14:textId="77777777">
            <w:r>
              <w:rPr>
                <w:b/>
                <w:bCs/>
                <w:color w:val="9A6A00"/>
              </w:rPr>
              <w:t>Function</w:t>
            </w:r>
          </w:p>
        </w:tc>
        <w:tc>
          <w:tcPr>
            <w:tcW w:w="7200" w:type="dxa"/>
            <w:tcBorders>
              <w:top w:val="single" w:color="DDDDDD" w:sz="4" w:space="0"/>
              <w:left w:val="none" w:color="FFFFFF" w:sz="0" w:space="0"/>
              <w:bottom w:val="single" w:color="DDDDDD" w:sz="4" w:space="0"/>
              <w:right w:val="none" w:color="FFFFFF" w:sz="0" w:space="0"/>
            </w:tcBorders>
            <w:tcMar>
              <w:top w:w="100" w:type="dxa"/>
              <w:left w:w="100" w:type="dxa"/>
              <w:bottom w:w="100" w:type="dxa"/>
              <w:right w:w="0" w:type="dxa"/>
            </w:tcMar>
          </w:tcPr>
          <w:p w:rsidR="00591AAC" w:rsidRDefault="00B15EEC" w14:paraId="7BF108DC" w14:textId="77777777">
            <w:r>
              <w:t>Lab safety, compliance, facilities operations — sometimes analytical oversight</w:t>
            </w:r>
          </w:p>
        </w:tc>
      </w:tr>
      <w:tr w:rsidR="00591AAC" w14:paraId="5649FBDF" w14:textId="77777777">
        <w:tblPrEx>
          <w:tblCellMar>
            <w:top w:w="0" w:type="dxa"/>
            <w:bottom w:w="0" w:type="dxa"/>
          </w:tblCellMar>
        </w:tblPrEx>
        <w:tc>
          <w:tcPr>
            <w:tcW w:w="2160" w:type="dxa"/>
            <w:tcBorders>
              <w:top w:val="single" w:color="DDDDDD" w:sz="4" w:space="0"/>
              <w:left w:val="none" w:color="FFFFFF" w:sz="0" w:space="0"/>
              <w:bottom w:val="single" w:color="DDDDDD" w:sz="4" w:space="0"/>
              <w:right w:val="none" w:color="FFFFFF" w:sz="0" w:space="0"/>
            </w:tcBorders>
            <w:tcMar>
              <w:top w:w="100" w:type="dxa"/>
              <w:left w:w="0" w:type="dxa"/>
              <w:bottom w:w="100" w:type="dxa"/>
              <w:right w:w="100" w:type="dxa"/>
            </w:tcMar>
          </w:tcPr>
          <w:p w:rsidR="00591AAC" w:rsidRDefault="00B15EEC" w14:paraId="1EE6D561" w14:textId="77777777">
            <w:r>
              <w:rPr>
                <w:b/>
                <w:bCs/>
                <w:color w:val="9A6A00"/>
              </w:rPr>
              <w:t>Discovery channel</w:t>
            </w:r>
          </w:p>
        </w:tc>
        <w:tc>
          <w:tcPr>
            <w:tcW w:w="7200" w:type="dxa"/>
            <w:tcBorders>
              <w:top w:val="single" w:color="DDDDDD" w:sz="4" w:space="0"/>
              <w:left w:val="none" w:color="FFFFFF" w:sz="0" w:space="0"/>
              <w:bottom w:val="single" w:color="DDDDDD" w:sz="4" w:space="0"/>
              <w:right w:val="none" w:color="FFFFFF" w:sz="0" w:space="0"/>
            </w:tcBorders>
            <w:tcMar>
              <w:top w:w="100" w:type="dxa"/>
              <w:left w:w="100" w:type="dxa"/>
              <w:bottom w:w="100" w:type="dxa"/>
              <w:right w:w="0" w:type="dxa"/>
            </w:tcMar>
          </w:tcPr>
          <w:p w:rsidR="00591AAC" w:rsidRDefault="00B15EEC" w14:paraId="49C19C35" w14:textId="77777777">
            <w:r>
              <w:t>Not yet confirmed — flagged below as an open question for Adrian</w:t>
            </w:r>
          </w:p>
        </w:tc>
      </w:tr>
    </w:tbl>
    <w:p w:rsidR="00591AAC" w:rsidRDefault="00591AAC" w14:paraId="0E27B00A" w14:textId="77777777">
      <w:pPr>
        <w:spacing w:after="120"/>
      </w:pPr>
    </w:p>
    <w:p w:rsidR="00591AAC" w:rsidRDefault="00B15EEC" w14:paraId="226495FF" w14:textId="77777777">
      <w:pPr>
        <w:spacing w:before="260" w:after="100"/>
      </w:pPr>
      <w:r>
        <w:rPr>
          <w:b/>
          <w:bCs/>
          <w:color w:val="9A6A00"/>
          <w:sz w:val="24"/>
          <w:szCs w:val="24"/>
        </w:rPr>
        <w:t>What they do</w:t>
      </w:r>
    </w:p>
    <w:p w:rsidR="00591AAC" w:rsidRDefault="00B15EEC" w14:paraId="6DAE57C0" w14:textId="77777777">
      <w:pPr>
        <w:pStyle w:val="ListParagraph"/>
        <w:numPr>
          <w:ilvl w:val="0"/>
          <w:numId w:val="2"/>
        </w:numPr>
        <w:spacing w:after="70"/>
      </w:pPr>
      <w:r>
        <w:rPr>
          <w:sz w:val="21"/>
          <w:szCs w:val="21"/>
        </w:rPr>
        <w:t>Monitor for solvent exposure and safety incidents across the lab</w:t>
      </w:r>
    </w:p>
    <w:p w:rsidR="00591AAC" w:rsidRDefault="00B15EEC" w14:paraId="7BDB0160" w14:textId="77777777">
      <w:pPr>
        <w:pStyle w:val="ListParagraph"/>
        <w:numPr>
          <w:ilvl w:val="0"/>
          <w:numId w:val="2"/>
        </w:numPr>
        <w:spacing w:after="70"/>
      </w:pPr>
      <w:r>
        <w:rPr>
          <w:sz w:val="21"/>
          <w:szCs w:val="21"/>
        </w:rPr>
        <w:t>Maintain compliance ahead of audits and inspections</w:t>
      </w:r>
    </w:p>
    <w:p w:rsidR="00591AAC" w:rsidRDefault="00B15EEC" w14:paraId="7CCAEAE1" w14:textId="77777777">
      <w:pPr>
        <w:pStyle w:val="ListParagraph"/>
        <w:numPr>
          <w:ilvl w:val="0"/>
          <w:numId w:val="2"/>
        </w:numPr>
        <w:spacing w:after="70"/>
      </w:pPr>
      <w:r>
        <w:rPr>
          <w:sz w:val="21"/>
          <w:szCs w:val="21"/>
        </w:rPr>
        <w:t>Manage lab operations and facilities infrastructure, sometimes including equipment budgets</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70"/>
      </w:tblGrid>
      <w:tr w:rsidR="00591AAC" w14:paraId="2F92CAF5" w14:textId="77777777">
        <w:tblPrEx>
          <w:tblCellMar>
            <w:top w:w="0" w:type="dxa"/>
            <w:bottom w:w="0" w:type="dxa"/>
          </w:tblCellMar>
        </w:tblPrEx>
        <w:tc>
          <w:tcPr>
            <w:tcW w:w="9360" w:type="dxa"/>
            <w:tcBorders>
              <w:top w:val="single" w:color="9A6A00" w:sz="4" w:space="0"/>
              <w:left w:val="single" w:color="9A6A00" w:sz="4" w:space="0"/>
              <w:bottom w:val="single" w:color="9A6A00" w:sz="4" w:space="0"/>
              <w:right w:val="single" w:color="9A6A00" w:sz="4" w:space="0"/>
            </w:tcBorders>
            <w:shd w:val="clear" w:color="auto" w:fill="FBF3E3"/>
            <w:tcMar>
              <w:top w:w="160" w:type="dxa"/>
              <w:left w:w="200" w:type="dxa"/>
              <w:bottom w:w="160" w:type="dxa"/>
              <w:right w:w="200" w:type="dxa"/>
            </w:tcMar>
          </w:tcPr>
          <w:p w:rsidR="00591AAC" w:rsidRDefault="00B15EEC" w14:paraId="3A861813" w14:textId="77777777">
            <w:pPr>
              <w:spacing w:after="60"/>
            </w:pPr>
            <w:r>
              <w:rPr>
                <w:b/>
                <w:bCs/>
                <w:color w:val="9A6A00"/>
                <w:sz w:val="21"/>
                <w:szCs w:val="21"/>
              </w:rPr>
              <w:t>Key insight: this can be the same person as a Bench Scientist, wearing a different hat</w:t>
            </w:r>
          </w:p>
          <w:p w:rsidR="00591AAC" w:rsidRDefault="00B15EEC" w14:paraId="756AD041" w14:textId="77777777">
            <w:r>
              <w:rPr>
                <w:sz w:val="21"/>
                <w:szCs w:val="21"/>
              </w:rPr>
              <w:t>One profile in our data — an R&amp;D Associate at Regeneron specializing in protein purification — also lists themselves as a lab safety contact. That’s this persona and the Bench Scientist persona overlapping in a single individual, depending on which purchase they’re making. Don’t treat the personas as mutually exclusive job titles — treat them as roles a person steps into.</w:t>
            </w:r>
          </w:p>
        </w:tc>
      </w:tr>
    </w:tbl>
    <w:p w:rsidR="00591AAC" w:rsidRDefault="00591AAC" w14:paraId="60061E4C" w14:textId="77777777">
      <w:pPr>
        <w:spacing w:after="120"/>
      </w:pPr>
    </w:p>
    <w:p w:rsidR="00591AAC" w:rsidRDefault="00B15EEC" w14:paraId="17C5FD45" w14:textId="77777777">
      <w:pPr>
        <w:spacing w:before="260" w:after="100"/>
      </w:pPr>
      <w:r>
        <w:rPr>
          <w:b/>
          <w:bCs/>
          <w:color w:val="9A6A00"/>
          <w:sz w:val="24"/>
          <w:szCs w:val="24"/>
        </w:rPr>
        <w:t>How they think and decide</w:t>
      </w:r>
    </w:p>
    <w:p w:rsidR="00591AAC" w:rsidRDefault="00B15EEC" w14:paraId="0BB52370" w14:textId="77777777">
      <w:pPr>
        <w:spacing w:before="200" w:after="80"/>
      </w:pPr>
      <w:r>
        <w:rPr>
          <w:b/>
          <w:bCs/>
          <w:color w:val="9A6A00"/>
          <w:sz w:val="21"/>
          <w:szCs w:val="21"/>
        </w:rPr>
        <w:t>Motivations</w:t>
      </w:r>
    </w:p>
    <w:p w:rsidR="00591AAC" w:rsidRDefault="00B15EEC" w14:paraId="264DA045" w14:textId="77777777">
      <w:pPr>
        <w:pStyle w:val="ListParagraph"/>
        <w:numPr>
          <w:ilvl w:val="0"/>
          <w:numId w:val="2"/>
        </w:numPr>
        <w:spacing w:after="70"/>
      </w:pPr>
      <w:r>
        <w:rPr>
          <w:sz w:val="21"/>
          <w:szCs w:val="21"/>
        </w:rPr>
        <w:t>Preventing solvent-related incidents before they happen</w:t>
      </w:r>
    </w:p>
    <w:p w:rsidR="00591AAC" w:rsidRDefault="00B15EEC" w14:paraId="6274A917" w14:textId="77777777">
      <w:pPr>
        <w:pStyle w:val="ListParagraph"/>
        <w:numPr>
          <w:ilvl w:val="0"/>
          <w:numId w:val="2"/>
        </w:numPr>
        <w:spacing w:after="70"/>
      </w:pPr>
      <w:r>
        <w:rPr>
          <w:sz w:val="21"/>
          <w:szCs w:val="21"/>
        </w:rPr>
        <w:t>Passing audits without scrambling for documentation</w:t>
      </w:r>
    </w:p>
    <w:p w:rsidR="00591AAC" w:rsidRDefault="00B15EEC" w14:paraId="41EFA209" w14:textId="77777777">
      <w:pPr>
        <w:pStyle w:val="ListParagraph"/>
        <w:numPr>
          <w:ilvl w:val="0"/>
          <w:numId w:val="2"/>
        </w:numPr>
        <w:spacing w:after="70"/>
      </w:pPr>
      <w:r>
        <w:rPr>
          <w:sz w:val="21"/>
          <w:szCs w:val="21"/>
        </w:rPr>
        <w:t>Equipping the lab without needing deep chromatography expertise themselves</w:t>
      </w:r>
    </w:p>
    <w:p w:rsidR="00591AAC" w:rsidRDefault="00B15EEC" w14:paraId="2C2EA4BA" w14:textId="77777777">
      <w:pPr>
        <w:spacing w:before="200" w:after="80"/>
      </w:pPr>
      <w:r>
        <w:rPr>
          <w:b/>
          <w:bCs/>
          <w:color w:val="9A6A00"/>
          <w:sz w:val="21"/>
          <w:szCs w:val="21"/>
        </w:rPr>
        <w:t>Discovery and purchase path</w:t>
      </w:r>
    </w:p>
    <w:p w:rsidR="00591AAC" w:rsidRDefault="00B15EEC" w14:paraId="67652FAE" w14:textId="77777777">
      <w:pPr>
        <w:pStyle w:val="ListParagraph"/>
        <w:numPr>
          <w:ilvl w:val="0"/>
          <w:numId w:val="2"/>
        </w:numPr>
        <w:spacing w:after="70"/>
      </w:pPr>
      <w:r>
        <w:rPr>
          <w:sz w:val="21"/>
          <w:szCs w:val="21"/>
        </w:rPr>
        <w:t>Not yet confirmed — this is the top open question below</w:t>
      </w:r>
    </w:p>
    <w:p w:rsidR="00591AAC" w:rsidRDefault="00B15EEC" w14:paraId="33B2A6DE" w14:textId="77777777">
      <w:pPr>
        <w:pStyle w:val="ListParagraph"/>
        <w:numPr>
          <w:ilvl w:val="0"/>
          <w:numId w:val="2"/>
        </w:numPr>
        <w:spacing w:after="70"/>
      </w:pPr>
      <w:r>
        <w:rPr>
          <w:sz w:val="21"/>
          <w:szCs w:val="21"/>
        </w:rPr>
        <w:t>Likely a distinct evaluation path from either chromatography persona, since compliance and audit-readiness are the concern, not experiment throughput</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70"/>
      </w:tblGrid>
      <w:tr w:rsidR="00591AAC" w14:paraId="57F6C6AC" w14:textId="77777777">
        <w:tblPrEx>
          <w:tblCellMar>
            <w:top w:w="0" w:type="dxa"/>
            <w:bottom w:w="0" w:type="dxa"/>
          </w:tblCellMar>
        </w:tblPrEx>
        <w:tc>
          <w:tcPr>
            <w:tcW w:w="9360" w:type="dxa"/>
            <w:tcBorders>
              <w:top w:val="single" w:color="9A6A00" w:sz="4" w:space="0"/>
              <w:left w:val="single" w:color="9A6A00" w:sz="4" w:space="0"/>
              <w:bottom w:val="single" w:color="9A6A00" w:sz="4" w:space="0"/>
              <w:right w:val="single" w:color="9A6A00" w:sz="4" w:space="0"/>
            </w:tcBorders>
            <w:shd w:val="clear" w:color="auto" w:fill="FBF3E3"/>
            <w:tcMar>
              <w:top w:w="160" w:type="dxa"/>
              <w:left w:w="200" w:type="dxa"/>
              <w:bottom w:w="160" w:type="dxa"/>
              <w:right w:w="200" w:type="dxa"/>
            </w:tcMar>
          </w:tcPr>
          <w:p w:rsidR="00591AAC" w:rsidRDefault="00B15EEC" w14:paraId="778B1D02" w14:textId="77777777">
            <w:pPr>
              <w:spacing w:after="60"/>
            </w:pPr>
            <w:r>
              <w:rPr>
                <w:b/>
                <w:bCs/>
                <w:color w:val="9A6A00"/>
                <w:sz w:val="21"/>
                <w:szCs w:val="21"/>
              </w:rPr>
              <w:t>What the website needs to do for this persona</w:t>
            </w:r>
          </w:p>
          <w:p w:rsidR="00591AAC" w:rsidRDefault="00B15EEC" w14:paraId="717026FF" w14:textId="77777777">
            <w:r>
              <w:rPr>
                <w:sz w:val="21"/>
                <w:szCs w:val="21"/>
              </w:rPr>
              <w:t>Give Solvent Safety its own message track — compliance- and reliability-oriented proof points, not throughput or precision claims — and a path that doesn’t assume chromatography fluency.</w:t>
            </w:r>
          </w:p>
        </w:tc>
      </w:tr>
    </w:tbl>
    <w:p w:rsidR="00591AAC" w:rsidP="392E4F41" w:rsidRDefault="00591AAC" w14:paraId="44EAFD9C" w14:textId="77777777">
      <w:pPr>
        <w:pBdr>
          <w:bottom w:val="single" w:color="CCCCCC" w:sz="6" w:space="4"/>
        </w:pBdr>
        <w:spacing w:before="240" w:after="240"/>
      </w:pPr>
    </w:p>
    <w:p w:rsidR="392E4F41" w:rsidRDefault="392E4F41" w14:paraId="22CF78B1" w14:textId="61A98800">
      <w:r>
        <w:br w:type="page"/>
      </w:r>
    </w:p>
    <w:p w:rsidR="392E4F41" w:rsidP="392E4F41" w:rsidRDefault="392E4F41" w14:paraId="71183803" w14:textId="1BC180B8">
      <w:pPr>
        <w:pStyle w:val="Normal"/>
        <w:pBdr>
          <w:bottom w:val="single" w:color="CCCCCC" w:sz="6" w:space="4"/>
        </w:pBdr>
        <w:spacing w:before="240" w:after="240"/>
      </w:pPr>
    </w:p>
    <w:p w:rsidR="00591AAC" w:rsidRDefault="00B15EEC" w14:paraId="78E47371" w14:textId="77777777">
      <w:pPr>
        <w:pStyle w:val="Heading1"/>
        <w:spacing w:before="420" w:after="60"/>
      </w:pPr>
      <w:r>
        <w:rPr>
          <w:b/>
          <w:bCs/>
          <w:color w:val="1B2A4A"/>
        </w:rPr>
        <w:t>How the three personas differ</w:t>
      </w:r>
    </w:p>
    <w:p w:rsidR="00591AAC" w:rsidRDefault="00591AAC" w14:paraId="4B94D5A5" w14:textId="77777777">
      <w:pPr>
        <w:spacing w:after="8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37"/>
        <w:gridCol w:w="2711"/>
        <w:gridCol w:w="2711"/>
        <w:gridCol w:w="2711"/>
      </w:tblGrid>
      <w:tr w:rsidR="00591AAC" w14:paraId="47E2DC04" w14:textId="77777777">
        <w:tblPrEx>
          <w:tblCellMar>
            <w:top w:w="0" w:type="dxa"/>
            <w:bottom w:w="0" w:type="dxa"/>
          </w:tblCellMar>
        </w:tblPrEx>
        <w:trPr>
          <w:tblHeader/>
        </w:trPr>
        <w:tc>
          <w:tcPr>
            <w:tcW w:w="1800" w:type="dxa"/>
            <w:shd w:val="clear" w:color="auto" w:fill="1B2A4A"/>
            <w:tcMar>
              <w:top w:w="100" w:type="dxa"/>
              <w:left w:w="120" w:type="dxa"/>
              <w:bottom w:w="100" w:type="dxa"/>
              <w:right w:w="120" w:type="dxa"/>
            </w:tcMar>
          </w:tcPr>
          <w:p w:rsidR="00591AAC" w:rsidRDefault="00591AAC" w14:paraId="3DEEC669" w14:textId="77777777"/>
        </w:tc>
        <w:tc>
          <w:tcPr>
            <w:tcW w:w="2520" w:type="dxa"/>
            <w:shd w:val="clear" w:color="auto" w:fill="1B2A4A"/>
            <w:tcMar>
              <w:top w:w="100" w:type="dxa"/>
              <w:left w:w="120" w:type="dxa"/>
              <w:bottom w:w="100" w:type="dxa"/>
              <w:right w:w="120" w:type="dxa"/>
            </w:tcMar>
          </w:tcPr>
          <w:p w:rsidR="00591AAC" w:rsidRDefault="00B15EEC" w14:paraId="016419AE" w14:textId="77777777">
            <w:r>
              <w:rPr>
                <w:b/>
                <w:bCs/>
                <w:color w:val="FFFFFF"/>
                <w:sz w:val="19"/>
                <w:szCs w:val="19"/>
              </w:rPr>
              <w:t>Bench Scientist</w:t>
            </w:r>
          </w:p>
        </w:tc>
        <w:tc>
          <w:tcPr>
            <w:tcW w:w="2520" w:type="dxa"/>
            <w:shd w:val="clear" w:color="auto" w:fill="1B2A4A"/>
            <w:tcMar>
              <w:top w:w="100" w:type="dxa"/>
              <w:left w:w="120" w:type="dxa"/>
              <w:bottom w:w="100" w:type="dxa"/>
              <w:right w:w="120" w:type="dxa"/>
            </w:tcMar>
          </w:tcPr>
          <w:p w:rsidR="00591AAC" w:rsidRDefault="00B15EEC" w14:paraId="4E68CE73" w14:textId="77777777">
            <w:r>
              <w:rPr>
                <w:b/>
                <w:bCs/>
                <w:color w:val="FFFFFF"/>
                <w:sz w:val="19"/>
                <w:szCs w:val="19"/>
              </w:rPr>
              <w:t>Senior Technical Lead</w:t>
            </w:r>
          </w:p>
        </w:tc>
        <w:tc>
          <w:tcPr>
            <w:tcW w:w="2520" w:type="dxa"/>
            <w:shd w:val="clear" w:color="auto" w:fill="1B2A4A"/>
            <w:tcMar>
              <w:top w:w="100" w:type="dxa"/>
              <w:left w:w="120" w:type="dxa"/>
              <w:bottom w:w="100" w:type="dxa"/>
              <w:right w:w="120" w:type="dxa"/>
            </w:tcMar>
          </w:tcPr>
          <w:p w:rsidR="00591AAC" w:rsidRDefault="00B15EEC" w14:paraId="3D2A4FB7" w14:textId="77777777">
            <w:r>
              <w:rPr>
                <w:b/>
                <w:bCs/>
                <w:color w:val="FFFFFF"/>
                <w:sz w:val="19"/>
                <w:szCs w:val="19"/>
              </w:rPr>
              <w:t>Safety &amp; Facilities Owner</w:t>
            </w:r>
          </w:p>
        </w:tc>
      </w:tr>
      <w:tr w:rsidR="00591AAC" w14:paraId="792D77EE" w14:textId="77777777">
        <w:tblPrEx>
          <w:tblCellMar>
            <w:top w:w="0" w:type="dxa"/>
            <w:bottom w:w="0" w:type="dxa"/>
          </w:tblCellMar>
        </w:tblPrEx>
        <w:tc>
          <w:tcPr>
            <w:tcW w:w="1800" w:type="dxa"/>
            <w:shd w:val="clear" w:color="auto" w:fill="F2F4F7"/>
            <w:tcMar>
              <w:top w:w="100" w:type="dxa"/>
              <w:left w:w="120" w:type="dxa"/>
              <w:bottom w:w="100" w:type="dxa"/>
              <w:right w:w="120" w:type="dxa"/>
            </w:tcMar>
          </w:tcPr>
          <w:p w:rsidR="00591AAC" w:rsidRDefault="00B15EEC" w14:paraId="666B7CDF" w14:textId="77777777">
            <w:r>
              <w:rPr>
                <w:b/>
                <w:bCs/>
                <w:sz w:val="19"/>
                <w:szCs w:val="19"/>
              </w:rPr>
              <w:t>Core motivation</w:t>
            </w:r>
          </w:p>
        </w:tc>
        <w:tc>
          <w:tcPr>
            <w:tcW w:w="2520" w:type="dxa"/>
            <w:tcMar>
              <w:top w:w="100" w:type="dxa"/>
              <w:left w:w="120" w:type="dxa"/>
              <w:bottom w:w="100" w:type="dxa"/>
              <w:right w:w="120" w:type="dxa"/>
            </w:tcMar>
          </w:tcPr>
          <w:p w:rsidR="00591AAC" w:rsidRDefault="00B15EEC" w14:paraId="2124CC72" w14:textId="77777777">
            <w:r>
              <w:rPr>
                <w:sz w:val="19"/>
                <w:szCs w:val="19"/>
              </w:rPr>
              <w:t>Time savings and accuracy — offload a low-value task without risking the experiment</w:t>
            </w:r>
          </w:p>
        </w:tc>
        <w:tc>
          <w:tcPr>
            <w:tcW w:w="2520" w:type="dxa"/>
            <w:tcMar>
              <w:top w:w="100" w:type="dxa"/>
              <w:left w:w="120" w:type="dxa"/>
              <w:bottom w:w="100" w:type="dxa"/>
              <w:right w:w="120" w:type="dxa"/>
            </w:tcMar>
          </w:tcPr>
          <w:p w:rsidR="00591AAC" w:rsidRDefault="00B15EEC" w14:paraId="00486554" w14:textId="77777777">
            <w:r>
              <w:rPr>
                <w:sz w:val="19"/>
                <w:szCs w:val="19"/>
              </w:rPr>
              <w:t>Handling non-standard requests (e.g. aged resin) that a catalog vendor can't accommodate</w:t>
            </w:r>
          </w:p>
        </w:tc>
        <w:tc>
          <w:tcPr>
            <w:tcW w:w="2520" w:type="dxa"/>
            <w:tcMar>
              <w:top w:w="100" w:type="dxa"/>
              <w:left w:w="120" w:type="dxa"/>
              <w:bottom w:w="100" w:type="dxa"/>
              <w:right w:w="120" w:type="dxa"/>
            </w:tcMar>
          </w:tcPr>
          <w:p w:rsidR="00591AAC" w:rsidRDefault="00B15EEC" w14:paraId="612FD544" w14:textId="77777777">
            <w:r>
              <w:rPr>
                <w:sz w:val="19"/>
                <w:szCs w:val="19"/>
              </w:rPr>
              <w:t>Compliance and incident prevention, not experiment throughput</w:t>
            </w:r>
          </w:p>
        </w:tc>
      </w:tr>
      <w:tr w:rsidR="00591AAC" w14:paraId="0B912E12" w14:textId="77777777">
        <w:tblPrEx>
          <w:tblCellMar>
            <w:top w:w="0" w:type="dxa"/>
            <w:bottom w:w="0" w:type="dxa"/>
          </w:tblCellMar>
        </w:tblPrEx>
        <w:tc>
          <w:tcPr>
            <w:tcW w:w="1800" w:type="dxa"/>
            <w:shd w:val="clear" w:color="auto" w:fill="F2F4F7"/>
            <w:tcMar>
              <w:top w:w="100" w:type="dxa"/>
              <w:left w:w="120" w:type="dxa"/>
              <w:bottom w:w="100" w:type="dxa"/>
              <w:right w:w="120" w:type="dxa"/>
            </w:tcMar>
          </w:tcPr>
          <w:p w:rsidR="00591AAC" w:rsidRDefault="00B15EEC" w14:paraId="05A1EA75" w14:textId="77777777">
            <w:r>
              <w:rPr>
                <w:b/>
                <w:bCs/>
                <w:sz w:val="19"/>
                <w:szCs w:val="19"/>
              </w:rPr>
              <w:t>Messaging that lands</w:t>
            </w:r>
          </w:p>
        </w:tc>
        <w:tc>
          <w:tcPr>
            <w:tcW w:w="2520" w:type="dxa"/>
            <w:tcMar>
              <w:top w:w="100" w:type="dxa"/>
              <w:left w:w="120" w:type="dxa"/>
              <w:bottom w:w="100" w:type="dxa"/>
              <w:right w:w="120" w:type="dxa"/>
            </w:tcMar>
          </w:tcPr>
          <w:p w:rsidR="00591AAC" w:rsidRDefault="00B15EEC" w14:paraId="2CC8A6C4" w14:textId="77777777">
            <w:r>
              <w:rPr>
                <w:sz w:val="19"/>
                <w:szCs w:val="19"/>
              </w:rPr>
              <w:t>“Stop packing columns, get back to the real science.”</w:t>
            </w:r>
          </w:p>
        </w:tc>
        <w:tc>
          <w:tcPr>
            <w:tcW w:w="2520" w:type="dxa"/>
            <w:tcMar>
              <w:top w:w="100" w:type="dxa"/>
              <w:left w:w="120" w:type="dxa"/>
              <w:bottom w:w="100" w:type="dxa"/>
              <w:right w:w="120" w:type="dxa"/>
            </w:tcMar>
          </w:tcPr>
          <w:p w:rsidR="00591AAC" w:rsidRDefault="00B15EEC" w14:paraId="13A83117" w14:textId="77777777">
            <w:r>
              <w:rPr>
                <w:sz w:val="19"/>
                <w:szCs w:val="19"/>
              </w:rPr>
              <w:t>“We build to the non-standard spec other vendors turn down.”</w:t>
            </w:r>
          </w:p>
        </w:tc>
        <w:tc>
          <w:tcPr>
            <w:tcW w:w="2520" w:type="dxa"/>
            <w:tcMar>
              <w:top w:w="100" w:type="dxa"/>
              <w:left w:w="120" w:type="dxa"/>
              <w:bottom w:w="100" w:type="dxa"/>
              <w:right w:w="120" w:type="dxa"/>
            </w:tcMar>
          </w:tcPr>
          <w:p w:rsidR="00591AAC" w:rsidRDefault="00B15EEC" w14:paraId="1E1EECEE" w14:textId="77777777">
            <w:r>
              <w:rPr>
                <w:sz w:val="19"/>
                <w:szCs w:val="19"/>
              </w:rPr>
              <w:t>“Reliable monitoring you can point to in an audit.”</w:t>
            </w:r>
          </w:p>
        </w:tc>
      </w:tr>
      <w:tr w:rsidR="00591AAC" w14:paraId="15DA838B" w14:textId="77777777">
        <w:tblPrEx>
          <w:tblCellMar>
            <w:top w:w="0" w:type="dxa"/>
            <w:bottom w:w="0" w:type="dxa"/>
          </w:tblCellMar>
        </w:tblPrEx>
        <w:tc>
          <w:tcPr>
            <w:tcW w:w="1800" w:type="dxa"/>
            <w:shd w:val="clear" w:color="auto" w:fill="F2F4F7"/>
            <w:tcMar>
              <w:top w:w="100" w:type="dxa"/>
              <w:left w:w="120" w:type="dxa"/>
              <w:bottom w:w="100" w:type="dxa"/>
              <w:right w:w="120" w:type="dxa"/>
            </w:tcMar>
          </w:tcPr>
          <w:p w:rsidR="00591AAC" w:rsidRDefault="00B15EEC" w14:paraId="6B377C89" w14:textId="77777777">
            <w:r>
              <w:rPr>
                <w:b/>
                <w:bCs/>
                <w:sz w:val="19"/>
                <w:szCs w:val="19"/>
              </w:rPr>
              <w:t>Discovery channel</w:t>
            </w:r>
          </w:p>
        </w:tc>
        <w:tc>
          <w:tcPr>
            <w:tcW w:w="2520" w:type="dxa"/>
            <w:tcMar>
              <w:top w:w="100" w:type="dxa"/>
              <w:left w:w="120" w:type="dxa"/>
              <w:bottom w:w="100" w:type="dxa"/>
              <w:right w:w="120" w:type="dxa"/>
            </w:tcMar>
          </w:tcPr>
          <w:p w:rsidR="00591AAC" w:rsidRDefault="00B15EEC" w14:paraId="6234EF11" w14:textId="77777777">
            <w:r>
              <w:rPr>
                <w:sz w:val="19"/>
                <w:szCs w:val="19"/>
              </w:rPr>
              <w:t>Word-of-mouth from a peer</w:t>
            </w:r>
          </w:p>
        </w:tc>
        <w:tc>
          <w:tcPr>
            <w:tcW w:w="2520" w:type="dxa"/>
            <w:tcMar>
              <w:top w:w="100" w:type="dxa"/>
              <w:left w:w="120" w:type="dxa"/>
              <w:bottom w:w="100" w:type="dxa"/>
              <w:right w:w="120" w:type="dxa"/>
            </w:tcMar>
          </w:tcPr>
          <w:p w:rsidR="00591AAC" w:rsidRDefault="00B15EEC" w14:paraId="48B2F83F" w14:textId="77777777">
            <w:r>
              <w:rPr>
                <w:sz w:val="19"/>
                <w:szCs w:val="19"/>
              </w:rPr>
              <w:t>Often inherited from an existing Bench Scientist relationship on the same team; also peer network / conferences</w:t>
            </w:r>
          </w:p>
        </w:tc>
        <w:tc>
          <w:tcPr>
            <w:tcW w:w="2520" w:type="dxa"/>
            <w:tcMar>
              <w:top w:w="100" w:type="dxa"/>
              <w:left w:w="120" w:type="dxa"/>
              <w:bottom w:w="100" w:type="dxa"/>
              <w:right w:w="120" w:type="dxa"/>
            </w:tcMar>
          </w:tcPr>
          <w:p w:rsidR="00591AAC" w:rsidRDefault="00B15EEC" w14:paraId="62BC7B4D" w14:textId="77777777">
            <w:r>
              <w:rPr>
                <w:sz w:val="19"/>
                <w:szCs w:val="19"/>
              </w:rPr>
              <w:t>Unconfirmed — flagged as an open question</w:t>
            </w:r>
          </w:p>
        </w:tc>
      </w:tr>
      <w:tr w:rsidR="00591AAC" w14:paraId="1B2343A7" w14:textId="77777777">
        <w:tblPrEx>
          <w:tblCellMar>
            <w:top w:w="0" w:type="dxa"/>
            <w:bottom w:w="0" w:type="dxa"/>
          </w:tblCellMar>
        </w:tblPrEx>
        <w:tc>
          <w:tcPr>
            <w:tcW w:w="1800" w:type="dxa"/>
            <w:shd w:val="clear" w:color="auto" w:fill="F2F4F7"/>
            <w:tcMar>
              <w:top w:w="100" w:type="dxa"/>
              <w:left w:w="120" w:type="dxa"/>
              <w:bottom w:w="100" w:type="dxa"/>
              <w:right w:w="120" w:type="dxa"/>
            </w:tcMar>
          </w:tcPr>
          <w:p w:rsidR="00591AAC" w:rsidRDefault="00B15EEC" w14:paraId="1D2B3B2F" w14:textId="77777777">
            <w:r>
              <w:rPr>
                <w:b/>
                <w:bCs/>
                <w:sz w:val="19"/>
                <w:szCs w:val="19"/>
              </w:rPr>
              <w:t>Role in purchase</w:t>
            </w:r>
          </w:p>
        </w:tc>
        <w:tc>
          <w:tcPr>
            <w:tcW w:w="2520" w:type="dxa"/>
            <w:tcMar>
              <w:top w:w="100" w:type="dxa"/>
              <w:left w:w="120" w:type="dxa"/>
              <w:bottom w:w="100" w:type="dxa"/>
              <w:right w:w="120" w:type="dxa"/>
            </w:tcMar>
          </w:tcPr>
          <w:p w:rsidR="00591AAC" w:rsidRDefault="00B15EEC" w14:paraId="6FD3F121" w14:textId="77777777">
            <w:r>
              <w:rPr>
                <w:sz w:val="19"/>
                <w:szCs w:val="19"/>
              </w:rPr>
              <w:t>Internal champion, not final buyer</w:t>
            </w:r>
          </w:p>
        </w:tc>
        <w:tc>
          <w:tcPr>
            <w:tcW w:w="2520" w:type="dxa"/>
            <w:tcMar>
              <w:top w:w="100" w:type="dxa"/>
              <w:left w:w="120" w:type="dxa"/>
              <w:bottom w:w="100" w:type="dxa"/>
              <w:right w:w="120" w:type="dxa"/>
            </w:tcMar>
          </w:tcPr>
          <w:p w:rsidR="00591AAC" w:rsidRDefault="00B15EEC" w14:paraId="7D1C63C9" w14:textId="77777777">
            <w:r>
              <w:rPr>
                <w:sz w:val="19"/>
                <w:szCs w:val="19"/>
              </w:rPr>
              <w:t>Greater purchasing influence than Bench Scientist; not always full budget owner</w:t>
            </w:r>
          </w:p>
        </w:tc>
        <w:tc>
          <w:tcPr>
            <w:tcW w:w="2520" w:type="dxa"/>
            <w:tcMar>
              <w:top w:w="100" w:type="dxa"/>
              <w:left w:w="120" w:type="dxa"/>
              <w:bottom w:w="100" w:type="dxa"/>
              <w:right w:w="120" w:type="dxa"/>
            </w:tcMar>
          </w:tcPr>
          <w:p w:rsidR="00591AAC" w:rsidRDefault="00B15EEC" w14:paraId="537E1416" w14:textId="77777777">
            <w:r>
              <w:rPr>
                <w:sz w:val="19"/>
                <w:szCs w:val="19"/>
              </w:rPr>
              <w:t>Often the direct buyer for Solvent Safety</w:t>
            </w:r>
          </w:p>
        </w:tc>
      </w:tr>
      <w:tr w:rsidR="00591AAC" w14:paraId="2792B722" w14:textId="77777777">
        <w:tblPrEx>
          <w:tblCellMar>
            <w:top w:w="0" w:type="dxa"/>
            <w:bottom w:w="0" w:type="dxa"/>
          </w:tblCellMar>
        </w:tblPrEx>
        <w:tc>
          <w:tcPr>
            <w:tcW w:w="1800" w:type="dxa"/>
            <w:shd w:val="clear" w:color="auto" w:fill="F2F4F7"/>
            <w:tcMar>
              <w:top w:w="100" w:type="dxa"/>
              <w:left w:w="120" w:type="dxa"/>
              <w:bottom w:w="100" w:type="dxa"/>
              <w:right w:w="120" w:type="dxa"/>
            </w:tcMar>
          </w:tcPr>
          <w:p w:rsidR="00591AAC" w:rsidRDefault="00B15EEC" w14:paraId="16A2AEF3" w14:textId="77777777">
            <w:r>
              <w:rPr>
                <w:b/>
                <w:bCs/>
                <w:sz w:val="19"/>
                <w:szCs w:val="19"/>
              </w:rPr>
              <w:t>Website priority</w:t>
            </w:r>
          </w:p>
        </w:tc>
        <w:tc>
          <w:tcPr>
            <w:tcW w:w="2520" w:type="dxa"/>
            <w:tcMar>
              <w:top w:w="100" w:type="dxa"/>
              <w:left w:w="120" w:type="dxa"/>
              <w:bottom w:w="100" w:type="dxa"/>
              <w:right w:w="120" w:type="dxa"/>
            </w:tcMar>
          </w:tcPr>
          <w:p w:rsidR="00591AAC" w:rsidRDefault="00B15EEC" w14:paraId="26E3E72A" w14:textId="77777777">
            <w:r>
              <w:rPr>
                <w:sz w:val="19"/>
                <w:szCs w:val="19"/>
              </w:rPr>
              <w:t>Trust confirmation, shareable content, low-intimidation referral path</w:t>
            </w:r>
          </w:p>
        </w:tc>
        <w:tc>
          <w:tcPr>
            <w:tcW w:w="2520" w:type="dxa"/>
            <w:tcMar>
              <w:top w:w="100" w:type="dxa"/>
              <w:left w:w="120" w:type="dxa"/>
              <w:bottom w:w="100" w:type="dxa"/>
              <w:right w:w="120" w:type="dxa"/>
            </w:tcMar>
          </w:tcPr>
          <w:p w:rsidR="00591AAC" w:rsidRDefault="00B15EEC" w14:paraId="5EC866B2" w14:textId="77777777">
            <w:r>
              <w:rPr>
                <w:sz w:val="19"/>
                <w:szCs w:val="19"/>
              </w:rPr>
              <w:t>Proof of non-standard / custom-spec capability</w:t>
            </w:r>
          </w:p>
        </w:tc>
        <w:tc>
          <w:tcPr>
            <w:tcW w:w="2520" w:type="dxa"/>
            <w:tcMar>
              <w:top w:w="100" w:type="dxa"/>
              <w:left w:w="120" w:type="dxa"/>
              <w:bottom w:w="100" w:type="dxa"/>
              <w:right w:w="120" w:type="dxa"/>
            </w:tcMar>
          </w:tcPr>
          <w:p w:rsidR="00591AAC" w:rsidRDefault="00B15EEC" w14:paraId="39D27C6F" w14:textId="77777777">
            <w:r>
              <w:rPr>
                <w:sz w:val="19"/>
                <w:szCs w:val="19"/>
              </w:rPr>
              <w:t>Distinct compliance-oriented message track</w:t>
            </w:r>
          </w:p>
        </w:tc>
      </w:tr>
    </w:tbl>
    <w:p w:rsidR="00591AAC" w:rsidRDefault="00591AAC" w14:paraId="3656B9AB" w14:textId="77777777">
      <w:pPr>
        <w:spacing w:after="120"/>
      </w:pPr>
    </w:p>
    <w:p w:rsidR="00591AAC" w:rsidRDefault="00B15EEC" w14:paraId="70D6CB5B" w14:textId="77777777">
      <w:pPr>
        <w:pStyle w:val="Heading1"/>
        <w:spacing w:before="420" w:after="60"/>
      </w:pPr>
      <w:r>
        <w:rPr>
          <w:b/>
          <w:bCs/>
          <w:color w:val="1B2A4A"/>
        </w:rPr>
        <w:t>Open questions</w:t>
      </w:r>
    </w:p>
    <w:p w:rsidR="00591AAC" w:rsidRDefault="00B15EEC" w14:paraId="52F6A196" w14:textId="77777777">
      <w:pPr>
        <w:spacing w:after="160"/>
      </w:pPr>
      <w:r>
        <w:rPr>
          <w:sz w:val="21"/>
          <w:szCs w:val="21"/>
        </w:rPr>
        <w:t>The following gaps are worth exploring with Adrian:</w:t>
      </w:r>
    </w:p>
    <w:p w:rsidR="00591AAC" w:rsidRDefault="00B15EEC" w14:paraId="20D9862D" w14:textId="77777777">
      <w:pPr>
        <w:pStyle w:val="ListParagraph"/>
        <w:numPr>
          <w:ilvl w:val="0"/>
          <w:numId w:val="2"/>
        </w:numPr>
        <w:spacing w:after="70"/>
      </w:pPr>
      <w:r>
        <w:rPr>
          <w:sz w:val="21"/>
          <w:szCs w:val="21"/>
        </w:rPr>
        <w:t>Who actually initiates a Solvent Safety purchase, and through what channel — does it match the Safety &amp; Facilities Owner persona as drafted?</w:t>
      </w:r>
    </w:p>
    <w:p w:rsidR="00591AAC" w:rsidRDefault="00B15EEC" w14:paraId="2679EFAE" w14:textId="77777777">
      <w:pPr>
        <w:pStyle w:val="ListParagraph"/>
        <w:numPr>
          <w:ilvl w:val="0"/>
          <w:numId w:val="2"/>
        </w:numPr>
        <w:spacing w:after="70"/>
      </w:pPr>
      <w:r>
        <w:rPr>
          <w:sz w:val="21"/>
          <w:szCs w:val="21"/>
        </w:rPr>
        <w:t>Does the Analytical Development Manager title (seen in both Solvent Safety and Sensors data) function more like the Safety &amp; Facilities Owner, or more like the Senior Technical Lead?</w:t>
      </w:r>
    </w:p>
    <w:p w:rsidR="00591AAC" w:rsidRDefault="00B15EEC" w14:paraId="28EDDA7B" w14:textId="77777777">
      <w:pPr>
        <w:pStyle w:val="ListParagraph"/>
        <w:numPr>
          <w:ilvl w:val="0"/>
          <w:numId w:val="2"/>
        </w:numPr>
        <w:spacing w:after="70"/>
      </w:pPr>
      <w:r>
        <w:rPr>
          <w:sz w:val="21"/>
          <w:szCs w:val="21"/>
        </w:rPr>
        <w:t>What share of current chromatography customers sit at each tier — Bench Scientist vs. Senior Technical Lead — and how often does the relationship actually grow from one into the other, as Adrian describes?</w:t>
      </w:r>
    </w:p>
    <w:p w:rsidR="00591AAC" w:rsidRDefault="00B15EEC" w14:paraId="116AC7D7" w14:textId="77777777">
      <w:pPr>
        <w:pStyle w:val="ListParagraph"/>
        <w:numPr>
          <w:ilvl w:val="0"/>
          <w:numId w:val="2"/>
        </w:numPr>
        <w:spacing w:after="70"/>
      </w:pPr>
      <w:r>
        <w:rPr>
          <w:sz w:val="21"/>
          <w:szCs w:val="21"/>
        </w:rPr>
        <w:t>Beyond aged resin, what other non-standard requests typically come from the Senior Technical Lead persona? A short list would sharpen the website's proof points.</w:t>
      </w:r>
    </w:p>
    <w:p w:rsidR="00591AAC" w:rsidRDefault="00B15EEC" w14:paraId="3EB65EAD" w14:textId="77777777">
      <w:pPr>
        <w:pStyle w:val="ListParagraph"/>
        <w:numPr>
          <w:ilvl w:val="0"/>
          <w:numId w:val="2"/>
        </w:numPr>
        <w:spacing w:after="70"/>
      </w:pPr>
      <w:r>
        <w:rPr>
          <w:sz w:val="21"/>
          <w:szCs w:val="21"/>
        </w:rPr>
        <w:t>Is there a typical purchase cycle length for the Senior Technical Lead, given they may be ordering at a project or multi-phase level?</w:t>
      </w:r>
    </w:p>
    <w:p w:rsidR="00591AAC" w:rsidRDefault="00591AAC" w14:paraId="45FB0818" w14:textId="77777777">
      <w:pPr>
        <w:spacing w:after="200"/>
      </w:pPr>
    </w:p>
    <w:p w:rsidR="00591AAC" w:rsidRDefault="00B15EEC" w14:paraId="00344E7D" w14:textId="77777777">
      <w:pPr>
        <w:jc w:val="center"/>
      </w:pPr>
      <w:r>
        <w:rPr>
          <w:i/>
          <w:iCs/>
          <w:color w:val="5B6470"/>
          <w:sz w:val="18"/>
          <w:szCs w:val="18"/>
        </w:rPr>
        <w:t>Prepared for Argento Scientific — UX &amp; Conversion Assessment  ·  Draft for internal review</w:t>
      </w:r>
    </w:p>
    <w:sectPr w:rsidR="00591AAC">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90541"/>
    <w:multiLevelType w:val="hybridMultilevel"/>
    <w:tmpl w:val="FFFFFFFF"/>
    <w:lvl w:ilvl="0" w:tplc="793C6774">
      <w:start w:val="1"/>
      <w:numFmt w:val="bullet"/>
      <w:lvlText w:val="●"/>
      <w:lvlJc w:val="left"/>
      <w:pPr>
        <w:ind w:left="720" w:hanging="360"/>
      </w:pPr>
    </w:lvl>
    <w:lvl w:ilvl="1" w:tplc="37204B72">
      <w:start w:val="1"/>
      <w:numFmt w:val="bullet"/>
      <w:lvlText w:val="○"/>
      <w:lvlJc w:val="left"/>
      <w:pPr>
        <w:ind w:left="1440" w:hanging="360"/>
      </w:pPr>
    </w:lvl>
    <w:lvl w:ilvl="2" w:tplc="EAF2FDA4">
      <w:start w:val="1"/>
      <w:numFmt w:val="bullet"/>
      <w:lvlText w:val="■"/>
      <w:lvlJc w:val="left"/>
      <w:pPr>
        <w:ind w:left="2160" w:hanging="360"/>
      </w:pPr>
    </w:lvl>
    <w:lvl w:ilvl="3" w:tplc="118CA23C">
      <w:start w:val="1"/>
      <w:numFmt w:val="bullet"/>
      <w:lvlText w:val="●"/>
      <w:lvlJc w:val="left"/>
      <w:pPr>
        <w:ind w:left="2880" w:hanging="360"/>
      </w:pPr>
    </w:lvl>
    <w:lvl w:ilvl="4" w:tplc="72DC0104">
      <w:start w:val="1"/>
      <w:numFmt w:val="bullet"/>
      <w:lvlText w:val="○"/>
      <w:lvlJc w:val="left"/>
      <w:pPr>
        <w:ind w:left="3600" w:hanging="360"/>
      </w:pPr>
    </w:lvl>
    <w:lvl w:ilvl="5" w:tplc="4686E8EC">
      <w:start w:val="1"/>
      <w:numFmt w:val="bullet"/>
      <w:lvlText w:val="■"/>
      <w:lvlJc w:val="left"/>
      <w:pPr>
        <w:ind w:left="4320" w:hanging="360"/>
      </w:pPr>
    </w:lvl>
    <w:lvl w:ilvl="6" w:tplc="379E2BFA">
      <w:start w:val="1"/>
      <w:numFmt w:val="bullet"/>
      <w:lvlText w:val="●"/>
      <w:lvlJc w:val="left"/>
      <w:pPr>
        <w:ind w:left="5040" w:hanging="360"/>
      </w:pPr>
    </w:lvl>
    <w:lvl w:ilvl="7" w:tplc="8A6A7506">
      <w:start w:val="1"/>
      <w:numFmt w:val="bullet"/>
      <w:lvlText w:val="●"/>
      <w:lvlJc w:val="left"/>
      <w:pPr>
        <w:ind w:left="5760" w:hanging="360"/>
      </w:pPr>
    </w:lvl>
    <w:lvl w:ilvl="8" w:tplc="E52C83B2">
      <w:start w:val="1"/>
      <w:numFmt w:val="bullet"/>
      <w:lvlText w:val="●"/>
      <w:lvlJc w:val="left"/>
      <w:pPr>
        <w:ind w:left="6480" w:hanging="360"/>
      </w:pPr>
    </w:lvl>
  </w:abstractNum>
  <w:abstractNum w:abstractNumId="1" w15:restartNumberingAfterBreak="0">
    <w:nsid w:val="7F384F12"/>
    <w:multiLevelType w:val="hybridMultilevel"/>
    <w:tmpl w:val="FFFFFFFF"/>
    <w:lvl w:ilvl="0" w:tplc="3138B044">
      <w:start w:val="1"/>
      <w:numFmt w:val="bullet"/>
      <w:lvlText w:val="•"/>
      <w:lvlJc w:val="left"/>
      <w:pPr>
        <w:ind w:left="500" w:hanging="300"/>
      </w:pPr>
    </w:lvl>
    <w:lvl w:ilvl="1" w:tplc="BCCA360E">
      <w:numFmt w:val="decimal"/>
      <w:lvlText w:val=""/>
      <w:lvlJc w:val="left"/>
    </w:lvl>
    <w:lvl w:ilvl="2" w:tplc="FF085E74">
      <w:numFmt w:val="decimal"/>
      <w:lvlText w:val=""/>
      <w:lvlJc w:val="left"/>
    </w:lvl>
    <w:lvl w:ilvl="3" w:tplc="EB1A04B0">
      <w:numFmt w:val="decimal"/>
      <w:lvlText w:val=""/>
      <w:lvlJc w:val="left"/>
    </w:lvl>
    <w:lvl w:ilvl="4" w:tplc="2422B702">
      <w:numFmt w:val="decimal"/>
      <w:lvlText w:val=""/>
      <w:lvlJc w:val="left"/>
    </w:lvl>
    <w:lvl w:ilvl="5" w:tplc="41D4B304">
      <w:numFmt w:val="decimal"/>
      <w:lvlText w:val=""/>
      <w:lvlJc w:val="left"/>
    </w:lvl>
    <w:lvl w:ilvl="6" w:tplc="3BC8AFB0">
      <w:numFmt w:val="decimal"/>
      <w:lvlText w:val=""/>
      <w:lvlJc w:val="left"/>
    </w:lvl>
    <w:lvl w:ilvl="7" w:tplc="A4CA560A">
      <w:numFmt w:val="decimal"/>
      <w:lvlText w:val=""/>
      <w:lvlJc w:val="left"/>
    </w:lvl>
    <w:lvl w:ilvl="8" w:tplc="4ACAB8D4">
      <w:numFmt w:val="decimal"/>
      <w:lvlText w:val=""/>
      <w:lvlJc w:val="left"/>
    </w:lvl>
  </w:abstractNum>
  <w:num w:numId="1" w16cid:durableId="1536043891">
    <w:abstractNumId w:val="0"/>
    <w:lvlOverride w:ilvl="0">
      <w:startOverride w:val="1"/>
    </w:lvlOverride>
  </w:num>
  <w:num w:numId="2" w16cid:durableId="6675166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AAC"/>
    <w:rsid w:val="00591AAC"/>
    <w:rsid w:val="008C2746"/>
    <w:rsid w:val="00B15EEC"/>
    <w:rsid w:val="01CBE1D1"/>
    <w:rsid w:val="08BB3B5B"/>
    <w:rsid w:val="13AC2E60"/>
    <w:rsid w:val="16F2C53A"/>
    <w:rsid w:val="22B46846"/>
    <w:rsid w:val="392E4F41"/>
    <w:rsid w:val="61037003"/>
    <w:rsid w:val="7C917066"/>
    <w:rsid w:val="7DFA50D0"/>
    <w:rsid w:val="7DFA50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4AAAB85"/>
  <w15:docId w15:val="{4871FEB1-CBA8-4896-8CFB-879F21136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402025-6727-40c4-ad66-1027a59c63ed" xsi:nil="true"/>
    <lcf76f155ced4ddcb4097134ff3c332f xmlns="a6863042-6043-419a-8584-64c79d66ebb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B3E726B44716F48BE939DC7110063C9" ma:contentTypeVersion="14" ma:contentTypeDescription="Create a new document." ma:contentTypeScope="" ma:versionID="c31831b4ca6fc2d4e08978c404ad6312">
  <xsd:schema xmlns:xsd="http://www.w3.org/2001/XMLSchema" xmlns:xs="http://www.w3.org/2001/XMLSchema" xmlns:p="http://schemas.microsoft.com/office/2006/metadata/properties" xmlns:ns2="a6863042-6043-419a-8584-64c79d66ebb6" xmlns:ns3="67402025-6727-40c4-ad66-1027a59c63ed" targetNamespace="http://schemas.microsoft.com/office/2006/metadata/properties" ma:root="true" ma:fieldsID="bd579562c88dc2958da535eb96454a75" ns2:_="" ns3:_="">
    <xsd:import namespace="a6863042-6043-419a-8584-64c79d66ebb6"/>
    <xsd:import namespace="67402025-6727-40c4-ad66-1027a59c63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63042-6043-419a-8584-64c79d66eb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3902b34-31f5-4f09-96fa-8a79821f214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7402025-6727-40c4-ad66-1027a59c63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26480b-4e4f-4115-851b-e04569250ccc}" ma:internalName="TaxCatchAll" ma:showField="CatchAllData" ma:web="67402025-6727-40c4-ad66-1027a59c63e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CB02B8-F448-4FC9-B6F9-F98CBDE53A86}">
  <ds:schemaRefs>
    <ds:schemaRef ds:uri="http://schemas.microsoft.com/office/2006/metadata/properties"/>
    <ds:schemaRef ds:uri="http://schemas.microsoft.com/office/infopath/2007/PartnerControls"/>
    <ds:schemaRef ds:uri="67402025-6727-40c4-ad66-1027a59c63ed"/>
    <ds:schemaRef ds:uri="a6863042-6043-419a-8584-64c79d66ebb6"/>
  </ds:schemaRefs>
</ds:datastoreItem>
</file>

<file path=customXml/itemProps2.xml><?xml version="1.0" encoding="utf-8"?>
<ds:datastoreItem xmlns:ds="http://schemas.openxmlformats.org/officeDocument/2006/customXml" ds:itemID="{C720F83A-5CD1-4CFC-9BF4-93BFB3E892A1}">
  <ds:schemaRefs>
    <ds:schemaRef ds:uri="http://schemas.microsoft.com/sharepoint/v3/contenttype/forms"/>
  </ds:schemaRefs>
</ds:datastoreItem>
</file>

<file path=customXml/itemProps3.xml><?xml version="1.0" encoding="utf-8"?>
<ds:datastoreItem xmlns:ds="http://schemas.openxmlformats.org/officeDocument/2006/customXml" ds:itemID="{63499A47-911F-4069-886F-6602ECB675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863042-6043-419a-8584-64c79d66ebb6"/>
    <ds:schemaRef ds:uri="67402025-6727-40c4-ad66-1027a59c63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Rebecca Lord</lastModifiedBy>
  <revision>3</revision>
  <dcterms:created xsi:type="dcterms:W3CDTF">2026-07-15T19:52:00.0000000Z</dcterms:created>
  <dcterms:modified xsi:type="dcterms:W3CDTF">2026-07-16T17:54:56.9445844Z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0x0101005B3E726B44716F48BE939DC7110063C9</vt:lpwstr>
  </property>
  <property fmtid="{D5CDD505-2E9C-101B-9397-08002B2CF9AE}" pid="3" name="MediaServiceImageTags">
    <vt:lpwstr/>
  </property>
</Properties>
</file>