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pporting-information"/>
    <w:p>
      <w:pPr>
        <w:pStyle w:val="Heading1"/>
      </w:pPr>
      <w:r>
        <w:t xml:space="preserve">Supporting Information</w:t>
      </w:r>
    </w:p>
    <w:p>
      <w:pPr>
        <w:pStyle w:val="FrontMatter"/>
      </w:pPr>
      <w:r>
        <w:rPr>
          <w:b/>
          <w:bCs/>
        </w:rPr>
        <w:t xml:space="preserve">First Author</w:t>
      </w:r>
      <w:r>
        <w:rPr>
          <w:vertAlign w:val="superscript"/>
        </w:rPr>
        <w:t xml:space="preserve">1,†</w:t>
      </w:r>
      <w:r>
        <w:t xml:space="preserve">,</w:t>
      </w:r>
      <w:r>
        <w:t xml:space="preserve"> </w:t>
      </w:r>
      <w:r>
        <w:rPr>
          <w:b/>
          <w:bCs/>
        </w:rPr>
        <w:t xml:space="preserve">Second Author</w:t>
      </w:r>
      <w:r>
        <w:rPr>
          <w:vertAlign w:val="superscript"/>
        </w:rPr>
        <w:t xml:space="preserve">2,†</w:t>
      </w:r>
      <w:r>
        <w:t xml:space="preserve">,</w:t>
      </w:r>
      <w:r>
        <w:t xml:space="preserve"> </w:t>
      </w:r>
      <w:r>
        <w:rPr>
          <w:b/>
          <w:bCs/>
        </w:rPr>
        <w:t xml:space="preserve">Third Author</w:t>
      </w:r>
      <w:r>
        <w:rPr>
          <w:vertAlign w:val="superscript"/>
        </w:rPr>
        <w:t xml:space="preserve">1</w:t>
      </w:r>
      <w:r>
        <w:t xml:space="preserve">, and</w:t>
      </w:r>
      <w:r>
        <w:t xml:space="preserve"> </w:t>
      </w:r>
      <w:r>
        <w:rPr>
          <w:b/>
          <w:bCs/>
        </w:rPr>
        <w:t xml:space="preserve">Corresponding Author</w:t>
      </w:r>
      <w:r>
        <w:rPr>
          <w:vertAlign w:val="superscript"/>
        </w:rPr>
        <w:t xml:space="preserve">2,*</w:t>
      </w:r>
    </w:p>
    <w:p>
      <w:pPr>
        <w:pStyle w:val="FrontMatter"/>
      </w:pPr>
      <w:r>
        <w:rPr>
          <w:vertAlign w:val="superscript"/>
        </w:rPr>
        <w:t xml:space="preserve">1</w:t>
      </w:r>
      <w:r>
        <w:t xml:space="preserve"> </w:t>
      </w:r>
      <w:r>
        <w:t xml:space="preserve">Department of Biology, University of Example, City, Country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t xml:space="preserve">Department of Medicine, Another University, City, Country</w:t>
      </w:r>
    </w:p>
    <w:p>
      <w:pPr>
        <w:pStyle w:val="FrontMatter"/>
      </w:pPr>
      <w:r>
        <w:rPr>
          <w:vertAlign w:val="superscript"/>
        </w:rPr>
        <w:t xml:space="preserve">*</w:t>
      </w:r>
      <w:r>
        <w:t xml:space="preserve"> </w:t>
      </w:r>
      <w:r>
        <w:t xml:space="preserve">Correspondence: corresponding.author@email.com</w:t>
      </w:r>
      <w:r>
        <w:br/>
      </w:r>
      <w:r>
        <w:rPr>
          <w:vertAlign w:val="superscript"/>
        </w:rPr>
        <w:t xml:space="preserve">†</w:t>
      </w:r>
      <w:r>
        <w:t xml:space="preserve"> </w:t>
      </w:r>
      <w:r>
        <w:t xml:space="preserve">Equal contribution</w:t>
      </w:r>
    </w:p>
    <w:p>
      <w:pPr>
        <w:pStyle w:val="BodyText"/>
      </w:pPr>
      <w:r>
        <w:rPr>
          <w:b/>
          <w:bCs/>
        </w:rPr>
        <w:t xml:space="preserve">This PDF file includes:</w:t>
      </w:r>
    </w:p>
    <w:p>
      <w:pPr>
        <w:pStyle w:val="Compact"/>
        <w:numPr>
          <w:ilvl w:val="0"/>
          <w:numId w:val="1001"/>
        </w:numPr>
      </w:pPr>
      <w:r>
        <w:t xml:space="preserve">Supplementary Text</w:t>
      </w:r>
    </w:p>
    <w:p>
      <w:pPr>
        <w:pStyle w:val="Compact"/>
        <w:numPr>
          <w:ilvl w:val="0"/>
          <w:numId w:val="1001"/>
        </w:numPr>
      </w:pPr>
      <w:r>
        <w:t xml:space="preserve">Figures S1 to S2</w:t>
      </w:r>
    </w:p>
    <w:p>
      <w:pPr>
        <w:pStyle w:val="Compact"/>
        <w:numPr>
          <w:ilvl w:val="0"/>
          <w:numId w:val="1001"/>
        </w:numPr>
      </w:pPr>
      <w:r>
        <w:t xml:space="preserve">Tables S1</w:t>
      </w:r>
    </w:p>
    <w:bookmarkEnd w:id="20"/>
    <w:bookmarkStart w:id="23" w:name="supplementary-text"/>
    <w:p>
      <w:pPr>
        <w:pStyle w:val="Heading1"/>
      </w:pPr>
      <w:r>
        <w:t xml:space="preserve">Supplementary Text</w:t>
      </w:r>
    </w:p>
    <w:bookmarkStart w:id="21" w:name="note-s1-extended-methodology"/>
    <w:p>
      <w:pPr>
        <w:pStyle w:val="Heading2"/>
      </w:pPr>
      <w:r>
        <w:t xml:space="preserve">Note S1: Extended Methodology</w:t>
      </w:r>
    </w:p>
    <w:p>
      <w:pPr>
        <w:pStyle w:val="FirstParagraph"/>
      </w:pPr>
      <w:r>
        <w:t xml:space="preserve">Lorem ipsum dolor sit amet, consectetur adipiscing elit. Unlike the main text, here we provide the raw data derivation. The western blot analysis is shown in</w:t>
      </w:r>
      <w:r>
        <w:t xml:space="preserve"> </w:t>
      </w:r>
      <w:hyperlink w:anchor="fig:s1">
        <w:r>
          <w:rPr>
            <w:rStyle w:val="Hyperlink"/>
            <w:b/>
            <w:bCs/>
          </w:rPr>
          <w:t xml:space="preserve">Figure 1</w:t>
        </w:r>
      </w:hyperlink>
      <w:r>
        <w:t xml:space="preserve"> </w:t>
      </w:r>
      <w:r>
        <w:t xml:space="preserve">and primer sequences are listed in</w:t>
      </w:r>
      <w:r>
        <w:t xml:space="preserve"> </w:t>
      </w:r>
      <w:hyperlink w:anchor="tbl:s1">
        <w:r>
          <w:rPr>
            <w:rStyle w:val="Hyperlink"/>
            <w:b/>
            <w:bCs/>
          </w:rPr>
          <w:t xml:space="preserve">Table 1</w:t>
        </w:r>
      </w:hyperlink>
      <w:r>
        <w:t xml:space="preserve">. These data complement the results shown in</w:t>
      </w:r>
      <w:r>
        <w:t xml:space="preserve"> </w:t>
      </w:r>
      <w:r>
        <w:rPr>
          <w:b/>
          <w:bCs/>
        </w:rPr>
        <w:t xml:space="preserve">Figure 1</w:t>
      </w:r>
      <w:r>
        <w:t xml:space="preserve"> </w:t>
      </w:r>
      <w:r>
        <w:t xml:space="preserve">of the main manuscript. The methodology follows established protocols</w:t>
      </w:r>
      <w:r>
        <w:t xml:space="preserve"> </w:t>
      </w:r>
      <w:r>
        <w:t xml:space="preserve">[</w:t>
      </w:r>
      <w:hyperlink w:anchor="ref-smithDeepTissueImaging2024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ref-doeQuantumCoherence2025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.</w:t>
      </w:r>
    </w:p>
    <w:bookmarkEnd w:id="21"/>
    <w:bookmarkStart w:id="22" w:name="note-s2-additional-controls"/>
    <w:p>
      <w:pPr>
        <w:pStyle w:val="Heading2"/>
      </w:pPr>
      <w:r>
        <w:t xml:space="preserve">Note S2: Additional Controls</w:t>
      </w:r>
    </w:p>
    <w:p>
      <w:pPr>
        <w:pStyle w:val="FirstParagraph"/>
      </w:pPr>
      <w:r>
        <w:t xml:space="preserve">Sed do eiusmod tempor incididunt ut labore et dolore magna aliqua. Representative histology samples are presented in</w:t>
      </w:r>
      <w:r>
        <w:t xml:space="preserve"> </w:t>
      </w:r>
      <w:hyperlink w:anchor="fig:s2">
        <w:r>
          <w:rPr>
            <w:rStyle w:val="Hyperlink"/>
            <w:b/>
            <w:bCs/>
          </w:rPr>
          <w:t xml:space="preserve">Figure 2</w:t>
        </w:r>
      </w:hyperlink>
      <w:r>
        <w:t xml:space="preserve">. Additional validation experiments were performed according to recent guidelines</w:t>
      </w:r>
      <w:r>
        <w:t xml:space="preserve"> </w:t>
      </w:r>
      <w:r>
        <w:t xml:space="preserve">[</w:t>
      </w:r>
      <w:hyperlink w:anchor="ref-chenSenescencePathways2025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. Statistical analysis followed the protocol described by</w:t>
      </w:r>
      <w:r>
        <w:t xml:space="preserve"> </w:t>
      </w:r>
      <w:r>
        <w:t xml:space="preserve">[</w:t>
      </w:r>
      <w:hyperlink w:anchor="ref-wilsonStatisticalMethods2023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.</w:t>
      </w:r>
    </w:p>
    <w:bookmarkEnd w:id="22"/>
    <w:bookmarkEnd w:id="23"/>
    <w:bookmarkStart w:id="31" w:name="supplementary-figures"/>
    <w:p>
      <w:pPr>
        <w:pStyle w:val="Heading1"/>
      </w:pPr>
      <w:r>
        <w:t xml:space="preserve">Supplementary Figures</w:t>
      </w:r>
    </w:p>
    <w:bookmarkStart w:id="27" w:name="fig:s1"/>
    <w:p>
      <w:pPr>
        <w:pStyle w:val="CaptionedFigure"/>
      </w:pPr>
      <w:r>
        <w:drawing>
          <wp:inline>
            <wp:extent cx="5349240" cy="2165579"/>
            <wp:effectExtent b="0" l="0" r="0" t="0"/>
            <wp:docPr descr="Figure 1: Raw Western Blot Data. This figure shows the unprocessed western blot data corresponding to Figure 1 in the main manuscript." title="" id="25" name="Picture"/>
            <a:graphic>
              <a:graphicData uri="http://schemas.openxmlformats.org/drawingml/2006/picture">
                <pic:pic>
                  <pic:nvPicPr>
                    <pic:cNvPr descr="figures/fig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16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</w:t>
      </w:r>
      <w:r>
        <w:t xml:space="preserve"> </w:t>
      </w:r>
      <w:r>
        <w:rPr>
          <w:b/>
          <w:bCs/>
        </w:rPr>
        <w:t xml:space="preserve">Raw Western Blot Data.</w:t>
      </w:r>
      <w:r>
        <w:t xml:space="preserve"> </w:t>
      </w:r>
      <w:r>
        <w:t xml:space="preserve">This figure shows the unprocessed western blot data corresponding to</w:t>
      </w:r>
      <w:r>
        <w:t xml:space="preserve"> </w:t>
      </w:r>
      <w:r>
        <w:rPr>
          <w:b/>
          <w:bCs/>
        </w:rPr>
        <w:t xml:space="preserve">Figure 1</w:t>
      </w:r>
      <w:r>
        <w:t xml:space="preserve"> </w:t>
      </w:r>
      <w:r>
        <w:t xml:space="preserve">in the main manuscript.</w:t>
      </w:r>
    </w:p>
    <w:bookmarkEnd w:id="27"/>
    <w:bookmarkStart w:id="30" w:name="fig:s2"/>
    <w:p>
      <w:pPr>
        <w:pStyle w:val="CaptionedFigure"/>
      </w:pPr>
      <w:r>
        <w:drawing>
          <wp:inline>
            <wp:extent cx="5349240" cy="2165579"/>
            <wp:effectExtent b="0" l="0" r="0" t="0"/>
            <wp:docPr descr="Figure 2: Title of Second Supplementary Figure. Histology samples at 40x magnification." title="" id="28" name="Picture"/>
            <a:graphic>
              <a:graphicData uri="http://schemas.openxmlformats.org/drawingml/2006/picture">
                <pic:pic>
                  <pic:nvPicPr>
                    <pic:cNvPr descr="figures/figur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16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</w:t>
      </w:r>
      <w:r>
        <w:t xml:space="preserve"> </w:t>
      </w:r>
      <w:r>
        <w:rPr>
          <w:b/>
          <w:bCs/>
        </w:rPr>
        <w:t xml:space="preserve">Title of Second Supplementary Figure.</w:t>
      </w:r>
      <w:r>
        <w:t xml:space="preserve"> </w:t>
      </w:r>
      <w:r>
        <w:t xml:space="preserve">Histology samples at 40x magnification.</w:t>
      </w:r>
    </w:p>
    <w:bookmarkEnd w:id="30"/>
    <w:bookmarkEnd w:id="31"/>
    <w:bookmarkStart w:id="33" w:name="supplementary-tables"/>
    <w:p>
      <w:pPr>
        <w:pStyle w:val="Heading1"/>
      </w:pPr>
      <w:r>
        <w:t xml:space="preserve">Supplementary Tables</w:t>
      </w:r>
    </w:p>
    <w:bookmarkStart w:id="32" w:name="tbl:s1"/>
    <w:p>
      <w:pPr>
        <w:pStyle w:val="TableCaption"/>
      </w:pPr>
      <w:r>
        <w:t xml:space="preserve">Table 1:</w:t>
      </w:r>
      <w:r>
        <w:t xml:space="preserve"> </w:t>
      </w:r>
      <w:r>
        <w:rPr>
          <w:b/>
          <w:bCs/>
        </w:rPr>
        <w:t xml:space="preserve">Primers used in this study.</w:t>
      </w:r>
      <w:r>
        <w:t xml:space="preserve"> </w:t>
      </w:r>
      <w:r>
        <w:t xml:space="preserve">Sequences are listed 5’ to 3’.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Primers used in this study. Sequences are listed 5’ to 3’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5’-ACTG…-3’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5’-TGAC…-3’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5’-GGAA…-3’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5’-TTCC…-3’</w:t>
            </w:r>
          </w:p>
        </w:tc>
      </w:tr>
    </w:tbl>
    <w:bookmarkEnd w:id="32"/>
    <w:bookmarkEnd w:id="33"/>
    <w:bookmarkStart w:id="43" w:name="supplementary-references"/>
    <w:p>
      <w:pPr>
        <w:pStyle w:val="Heading1"/>
      </w:pPr>
      <w:r>
        <w:t xml:space="preserve">Supplementary References</w:t>
      </w:r>
    </w:p>
    <w:bookmarkStart w:id="42" w:name="refs"/>
    <w:bookmarkStart w:id="35" w:name="ref-smithDeepTissueImaging2024"/>
    <w:p>
      <w:pPr>
        <w:pStyle w:val="Bibliography"/>
      </w:pPr>
      <w:r>
        <w:t xml:space="preserve">1. Smith SJ, Johnson M. Deep-tissue imaging with transparent mice using light-sheet microscopy. Nature Methods. 2024;21:112–20.</w:t>
      </w:r>
      <w:r>
        <w:t xml:space="preserve"> </w:t>
      </w:r>
      <w:hyperlink r:id="rId34">
        <w:r>
          <w:rPr>
            <w:rStyle w:val="Hyperlink"/>
          </w:rPr>
          <w:t xml:space="preserve">https://doi.org/10.1038/s41592-024-01000-x</w:t>
        </w:r>
      </w:hyperlink>
      <w:r>
        <w:t xml:space="preserve">.</w:t>
      </w:r>
    </w:p>
    <w:bookmarkEnd w:id="35"/>
    <w:bookmarkStart w:id="37" w:name="ref-doeQuantumCoherence2025"/>
    <w:p>
      <w:pPr>
        <w:pStyle w:val="Bibliography"/>
      </w:pPr>
      <w:r>
        <w:t xml:space="preserve">2. Doe J, Ray S. Quantum coherence in photosynthesis at room temperature. Nature Communications. 2025;16:4501.</w:t>
      </w:r>
      <w:r>
        <w:t xml:space="preserve"> </w:t>
      </w:r>
      <w:hyperlink r:id="rId36">
        <w:r>
          <w:rPr>
            <w:rStyle w:val="Hyperlink"/>
          </w:rPr>
          <w:t xml:space="preserve">https://doi.org/10.1038/s41467-025-22105-z</w:t>
        </w:r>
      </w:hyperlink>
      <w:r>
        <w:t xml:space="preserve">.</w:t>
      </w:r>
    </w:p>
    <w:bookmarkEnd w:id="37"/>
    <w:bookmarkStart w:id="39" w:name="ref-chenSenescencePathways2025"/>
    <w:p>
      <w:pPr>
        <w:pStyle w:val="Bibliography"/>
      </w:pPr>
      <w:r>
        <w:t xml:space="preserve">3. Chen L, Muller H. The senescence-associated secretory phenotype in aging neurons. Cell. 2025;188:890–912.</w:t>
      </w:r>
      <w:r>
        <w:t xml:space="preserve"> </w:t>
      </w:r>
      <w:hyperlink r:id="rId38">
        <w:r>
          <w:rPr>
            <w:rStyle w:val="Hyperlink"/>
          </w:rPr>
          <w:t xml:space="preserve">https://doi.org/10.1016/j.cell.2025.01.012</w:t>
        </w:r>
      </w:hyperlink>
      <w:r>
        <w:t xml:space="preserve">.</w:t>
      </w:r>
    </w:p>
    <w:bookmarkEnd w:id="39"/>
    <w:bookmarkStart w:id="41" w:name="ref-wilsonStatisticalMethods2023"/>
    <w:p>
      <w:pPr>
        <w:pStyle w:val="Bibliography"/>
      </w:pPr>
      <w:r>
        <w:t xml:space="preserve">4. Wilson R, Thompson E. Advanced statistical methods for biological data analysis. Bioinformatics. 2023;39:1234–45.</w:t>
      </w:r>
      <w:r>
        <w:t xml:space="preserve"> </w:t>
      </w:r>
      <w:hyperlink r:id="rId40">
        <w:r>
          <w:rPr>
            <w:rStyle w:val="Hyperlink"/>
          </w:rPr>
          <w:t xml:space="preserve">https://doi.org/10.1093/bioinformatics/btad123</w:t>
        </w:r>
      </w:hyperlink>
      <w:r>
        <w:t xml:space="preserve">.</w:t>
      </w:r>
    </w:p>
    <w:bookmarkEnd w:id="41"/>
    <w:bookmarkEnd w:id="42"/>
    <w:bookmarkEnd w:id="43"/>
    <w:sectPr w:rsidR="009A6736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69F08296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9B18935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87BE1C6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170CD2DE"/>
    <w:multiLevelType w:val="multilevel"/>
    <w:tmpl w:val="1A38539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12616262" w:numId="1">
    <w:abstractNumId w:val="3"/>
  </w:num>
  <w:num w16cid:durableId="2070490522" w:numId="2">
    <w:abstractNumId w:val="0"/>
  </w:num>
  <w:num w16cid:durableId="2108498057" w:numId="3">
    <w:abstractNumId w:val="1"/>
  </w:num>
  <w:num w16cid:durableId="581372831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03453408" w:numId="5">
    <w:abstractNumId w:val="1"/>
  </w:num>
  <w:num w16cid:durableId="886330635" w:numId="6">
    <w:abstractNumId w:val="0"/>
  </w:num>
  <w:num w16cid:durableId="1051610932" w:numId="7">
    <w:abstractNumId w:val="1"/>
  </w:num>
  <w:num w16cid:durableId="1186096192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17474650" w:numId="9">
    <w:abstractNumId w:val="1"/>
  </w:num>
  <w:num w16cid:durableId="779227393" w:numId="10">
    <w:abstractNumId w:val="0"/>
  </w:num>
  <w:num w16cid:durableId="480314829" w:numId="11">
    <w:abstractNumId w:val="1"/>
  </w:num>
  <w:num w16cid:durableId="25568622"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50492030" w:numId="13">
    <w:abstractNumId w:val="1"/>
  </w:num>
  <w:num w16cid:durableId="1006979891" w:numId="14">
    <w:abstractNumId w:val="0"/>
  </w:num>
  <w:num w16cid:durableId="1953826590" w:numId="15">
    <w:abstractNumId w:val="1"/>
  </w:num>
  <w:num w16cid:durableId="1548419348"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9348075" w:numId="17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4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E9F"/>
    <w:rsid w:val="000E740D"/>
    <w:rsid w:val="00285D21"/>
    <w:rsid w:val="002F06DC"/>
    <w:rsid w:val="00340E0D"/>
    <w:rsid w:val="0035015D"/>
    <w:rsid w:val="003F4462"/>
    <w:rsid w:val="004065D7"/>
    <w:rsid w:val="00471D8B"/>
    <w:rsid w:val="005366C0"/>
    <w:rsid w:val="005F0E9F"/>
    <w:rsid w:val="006013AC"/>
    <w:rsid w:val="00660755"/>
    <w:rsid w:val="006E1067"/>
    <w:rsid w:val="007C7BC8"/>
    <w:rsid w:val="007E17B3"/>
    <w:rsid w:val="008762D1"/>
    <w:rsid w:val="0097611D"/>
    <w:rsid w:val="009A6736"/>
    <w:rsid w:val="00A25DDA"/>
    <w:rsid w:val="00A448C3"/>
    <w:rsid w:val="00AA4937"/>
    <w:rsid w:val="00B230AC"/>
    <w:rsid w:val="00BD4793"/>
    <w:rsid w:val="00C57159"/>
    <w:rsid w:val="00C92B34"/>
    <w:rsid w:val="00CA50CD"/>
    <w:rsid w:val="00CD30B2"/>
    <w:rsid w:val="00D90E47"/>
    <w:rsid w:val="00E44626"/>
    <w:rsid w:val="00E52964"/>
    <w:rsid w:val="00E714F3"/>
    <w:rsid w:val="00E94076"/>
    <w:rsid w:val="00EB3C46"/>
    <w:rsid w:val="00EB4390"/>
    <w:rsid w:val="00F35A27"/>
    <w:rsid w:val="00FC14C6"/>
    <w:rsid w:val="00FF4C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DE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EB4390"/>
    <w:pPr>
      <w:spacing w:after="0" w:line="360" w:lineRule="auto"/>
      <w:jc w:val="both"/>
    </w:pPr>
    <w:rPr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340E0D"/>
    <w:pPr>
      <w:keepNext/>
      <w:keepLines/>
      <w:spacing w:after="80" w:before="360"/>
      <w:jc w:val="left"/>
      <w:outlineLvl w:val="0"/>
    </w:pPr>
    <w:rPr>
      <w:rFonts w:asciiTheme="majorHAnsi" w:cstheme="majorBidi" w:eastAsiaTheme="majorEastAsia" w:hAnsiTheme="majorHAnsi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340E0D"/>
    <w:pPr>
      <w:keepNext/>
      <w:keepLines/>
      <w:spacing w:after="80" w:before="160"/>
      <w:jc w:val="left"/>
      <w:outlineLvl w:val="1"/>
    </w:pPr>
    <w:rPr>
      <w:rFonts w:asciiTheme="majorHAnsi" w:cstheme="majorBidi" w:eastAsiaTheme="majorEastAsia" w:hAnsiTheme="majorHAnsi"/>
      <w:b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340E0D"/>
    <w:pPr>
      <w:keepNext/>
      <w:keepLines/>
      <w:spacing w:after="80" w:before="160"/>
      <w:outlineLvl w:val="2"/>
    </w:pPr>
    <w:rPr>
      <w:rFonts w:cstheme="majorBidi" w:eastAsiaTheme="majorEastAsia"/>
      <w:i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2F06DC"/>
    <w:pPr>
      <w:keepNext/>
      <w:keepLines/>
      <w:spacing w:after="40" w:before="80"/>
      <w:jc w:val="left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2F06DC"/>
    <w:pPr>
      <w:keepNext/>
      <w:keepLines/>
      <w:spacing w:after="40" w:before="80"/>
      <w:jc w:val="left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2F06DC"/>
    <w:pPr>
      <w:keepNext/>
      <w:keepLines/>
      <w:spacing w:before="40"/>
      <w:jc w:val="left"/>
      <w:outlineLvl w:val="5"/>
    </w:pPr>
    <w:rPr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2F06DC"/>
    <w:pPr>
      <w:keepNext/>
      <w:keepLines/>
      <w:spacing w:before="40"/>
      <w:jc w:val="left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2F06DC"/>
    <w:pPr>
      <w:keepNext/>
      <w:keepLines/>
      <w:jc w:val="left"/>
      <w:outlineLvl w:val="7"/>
    </w:pPr>
    <w:rPr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2F06DC"/>
    <w:pPr>
      <w:keepNext/>
      <w:keepLines/>
      <w:jc w:val="left"/>
      <w:outlineLvl w:val="8"/>
    </w:pPr>
    <w:rPr>
      <w:rFonts w:cstheme="majorBidi" w:eastAsiaTheme="majorEastAsia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97611D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2F06DC"/>
    <w:pPr>
      <w:spacing w:after="80" w:line="240" w:lineRule="auto"/>
      <w:contextualSpacing/>
      <w:jc w:val="left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F06DC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340E0D"/>
    <w:rPr>
      <w:rFonts w:asciiTheme="majorHAnsi" w:cstheme="majorBidi" w:eastAsiaTheme="majorEastAsia" w:hAnsiTheme="majorHAnsi"/>
      <w:b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340E0D"/>
    <w:rPr>
      <w:rFonts w:asciiTheme="majorHAnsi" w:cstheme="majorBidi" w:eastAsiaTheme="majorEastAsia" w:hAnsiTheme="majorHAnsi"/>
      <w:b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340E0D"/>
    <w:rPr>
      <w:rFonts w:cstheme="majorBidi" w:eastAsiaTheme="majorEastAsia"/>
      <w:i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2F06DC"/>
    <w:rPr>
      <w:rFonts w:cstheme="majorBidi" w:eastAsiaTheme="majorEastAsia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2F06DC"/>
    <w:rPr>
      <w:rFonts w:cstheme="majorBidi" w:eastAsiaTheme="majorEastAsia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2F06DC"/>
    <w:rPr>
      <w:rFonts w:cstheme="majorBidi" w:eastAsiaTheme="majorEastAsia"/>
      <w:i/>
      <w:iCs/>
      <w:sz w:val="2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2F06DC"/>
    <w:rPr>
      <w:rFonts w:cstheme="majorBidi" w:eastAsiaTheme="majorEastAsia"/>
      <w:sz w:val="2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2F06DC"/>
    <w:rPr>
      <w:rFonts w:cstheme="majorBidi" w:eastAsiaTheme="majorEastAsia"/>
      <w:i/>
      <w:iCs/>
      <w:sz w:val="2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2F06DC"/>
    <w:rPr>
      <w:rFonts w:cstheme="majorBidi" w:eastAsiaTheme="majorEastAsia"/>
      <w:sz w:val="22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BD4793"/>
    <w:rPr>
      <w:color w:themeColor="text2" w:themeTint="BF" w:val="215E9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FrontMatter" w:type="paragraph">
    <w:name w:val="FrontMatter"/>
    <w:basedOn w:val="BodyText"/>
    <w:qFormat/>
    <w:rsid w:val="00C57159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8" Target="https://doi.org/10.1016/j.cell.2025.01.012" TargetMode="External" /><Relationship Type="http://schemas.openxmlformats.org/officeDocument/2006/relationships/hyperlink" Id="rId36" Target="https://doi.org/10.1038/s41467-025-22105-z" TargetMode="External" /><Relationship Type="http://schemas.openxmlformats.org/officeDocument/2006/relationships/hyperlink" Id="rId34" Target="https://doi.org/10.1038/s41592-024-01000-x" TargetMode="External" /><Relationship Type="http://schemas.openxmlformats.org/officeDocument/2006/relationships/hyperlink" Id="rId40" Target="https://doi.org/10.1093/bioinformatics/btad12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016/j.cell.2025.01.012" TargetMode="External" /><Relationship Type="http://schemas.openxmlformats.org/officeDocument/2006/relationships/hyperlink" Id="rId36" Target="https://doi.org/10.1038/s41467-025-22105-z" TargetMode="External" /><Relationship Type="http://schemas.openxmlformats.org/officeDocument/2006/relationships/hyperlink" Id="rId34" Target="https://doi.org/10.1038/s41592-024-01000-x" TargetMode="External" /><Relationship Type="http://schemas.openxmlformats.org/officeDocument/2006/relationships/hyperlink" Id="rId40" Target="https://doi.org/10.1093/bioinformatics/btad12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2026-01-19T23:16:02Z</dcterms:created>
  <dcterms:modified xsi:type="dcterms:W3CDTF">2026-01-19T23:16:02Z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/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resources/citation_style.csl</vt:lpwstr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Figure</vt:lpwstr>
  </property>
  <property fmtid="{D5CDD505-2E9C-101B-9397-08002B2CF9AE}" pid="30" name="lastDelim">
    <vt:lpwstr>, </vt:lpwstr>
  </property>
  <property fmtid="{D5CDD505-2E9C-101B-9397-08002B2CF9AE}" pid="31" name="link-citations">
    <vt:lpwstr>True</vt:lpwstr>
  </property>
  <property fmtid="{D5CDD505-2E9C-101B-9397-08002B2CF9AE}" pid="32" name="linkReferences">
    <vt:lpwstr>True</vt:lpwstr>
  </property>
  <property fmtid="{D5CDD505-2E9C-101B-9397-08002B2CF9AE}" pid="33" name="listItemTitleDelim">
    <vt:lpwstr>.</vt:lpwstr>
  </property>
  <property fmtid="{D5CDD505-2E9C-101B-9397-08002B2CF9AE}" pid="34" name="listOfMetadata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 of Figures</vt:lpwstr>
  </property>
  <property fmtid="{D5CDD505-2E9C-101B-9397-08002B2CF9AE}" pid="41" name="lolItemTemplate">
    <vt:lpwstr>lolItemTitleilistItemTitleDelimt </vt:lpwstr>
  </property>
  <property fmtid="{D5CDD505-2E9C-101B-9397-08002B2CF9AE}" pid="42" name="lolItemTitle">
    <vt:lpwstr/>
  </property>
  <property fmtid="{D5CDD505-2E9C-101B-9397-08002B2CF9AE}" pid="43" name="lolTitle">
    <vt:lpwstr>List of Listings</vt:lpwstr>
  </property>
  <property fmtid="{D5CDD505-2E9C-101B-9397-08002B2CF9AE}" pid="44" name="lotItemTemplate">
    <vt:lpwstr>lotItemTitleilistItemTitleDelimt </vt:lpwstr>
  </property>
  <property fmtid="{D5CDD505-2E9C-101B-9397-08002B2CF9AE}" pid="45" name="lotItemTitle">
    <vt:lpwstr/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nameInLink">
    <vt:lpwstr>True</vt:lpwstr>
  </property>
  <property fmtid="{D5CDD505-2E9C-101B-9397-08002B2CF9AE}" pid="51" name="numberSections">
    <vt:lpwstr>False</vt:lpwstr>
  </property>
  <property fmtid="{D5CDD505-2E9C-101B-9397-08002B2CF9AE}" pid="52" name="pairDelim">
    <vt:lpwstr>, </vt:lpwstr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secHeaderDelim">
    <vt:lpwstr> </vt:lpwstr>
  </property>
  <property fmtid="{D5CDD505-2E9C-101B-9397-08002B2CF9AE}" pid="57" name="secHeaderTemplate">
    <vt:lpwstr>isecHeaderDelim[n]t</vt:lpwstr>
  </property>
  <property fmtid="{D5CDD505-2E9C-101B-9397-08002B2CF9AE}" pid="58" name="secLabels">
    <vt:lpwstr>arabic</vt:lpwstr>
  </property>
  <property fmtid="{D5CDD505-2E9C-101B-9397-08002B2CF9AE}" pid="59" name="secPrefix">
    <vt:lpwstr/>
  </property>
  <property fmtid="{D5CDD505-2E9C-101B-9397-08002B2CF9AE}" pid="60" name="secPrefixTemplate">
    <vt:lpwstr>p i</vt:lpwstr>
  </property>
  <property fmtid="{D5CDD505-2E9C-101B-9397-08002B2CF9AE}" pid="61" name="sectionsDepth">
    <vt:lpwstr>0</vt:lpwstr>
  </property>
  <property fmtid="{D5CDD505-2E9C-101B-9397-08002B2CF9AE}" pid="62" name="subfigGrid">
    <vt:lpwstr>False</vt:lpwstr>
  </property>
  <property fmtid="{D5CDD505-2E9C-101B-9397-08002B2CF9AE}" pid="63" name="subfigLabels">
    <vt:lpwstr>alpha a</vt:lpwstr>
  </property>
  <property fmtid="{D5CDD505-2E9C-101B-9397-08002B2CF9AE}" pid="64" name="subfigureChildTemplate">
    <vt:lpwstr>i</vt:lpwstr>
  </property>
  <property fmtid="{D5CDD505-2E9C-101B-9397-08002B2CF9AE}" pid="65" name="subfigureRefIndexTemplate">
    <vt:lpwstr>isuf (s)</vt:lpwstr>
  </property>
  <property fmtid="{D5CDD505-2E9C-101B-9397-08002B2CF9AE}" pid="66" name="subfigureTemplate">
    <vt:lpwstr>figureTitle ititleDelim t. ccs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</Properties>
</file>