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Rajesh Electricals</w:t>
      </w:r>
    </w:p>
    <w:p>
      <w:pPr>
        <w:spacing w:after="100"/>
      </w:pPr>
      <w:r>
        <w:rPr>
          <w:i/>
          <w:iCs/>
        </w:rPr>
        <w:t xml:space="preserve">Date: 2025-06-20</w:t>
      </w:r>
    </w:p>
    <w:p>
      <w:pPr>
        <w:spacing w:after="300"/>
      </w:pPr>
      <w:r>
        <w:t xml:space="preserve">Invoice No: INV-B3928BB2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Unnamed Item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₹0</w:t>
      </w:r>
    </w:p>
    <w:p>
      <w:r>
        <w:t xml:space="preserve">Taxes: N/A</w:t>
      </w:r>
    </w:p>
    <w:p>
      <w:r>
        <w:t xml:space="preserve">Payment Mode: Bank Transfer</w:t>
      </w:r>
    </w:p>
    <w:p>
      <w:r>
        <w:t xml:space="preserve">Narration: Generate an invoice for ₹12,500 for 4 ceiling fans sold to Rajesh Electricals.
today, bank transfer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2025-06-20T11:57:40.530Z</dcterms:created>
  <dcterms:modified xsi:type="dcterms:W3CDTF">2025-06-20T11:57:40.530Z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