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28"/>
          <w:szCs w:val="28"/>
        </w:rPr>
        <w:t xml:space="preserve">BANCO DE DESARROLLO PRODUCTIVO S.A.M.</w:t>
      </w:r>
    </w:p>
    <w:p>
      <w:pPr>
        <w:spacing w:after="60" w:before="60"/>
        <w:jc w:val="center"/>
      </w:pPr>
      <w:r>
        <w:rPr>
          <w:rFonts w:ascii="Arial" w:cs="Arial" w:eastAsia="Arial" w:hAnsi="Arial"/>
          <w:i/>
          <w:iCs/>
          <w:color w:val="555555"/>
          <w:sz w:val="22"/>
          <w:szCs w:val="22"/>
        </w:rPr>
        <w:t xml:space="preserve">Digitalización del Proceso Crediticio PYME y Banca Empresa</w:t>
      </w:r>
    </w:p>
    <w:p>
      <w:pPr>
        <w:spacing w:after="60" w:before="60"/>
      </w:pPr>
    </w:p>
    <w:p>
      <w:pPr>
        <w:spacing w:after="100" w:before="200"/>
        <w:jc w:val="center"/>
      </w:pPr>
      <w:r>
        <w:rPr>
          <w:rFonts w:ascii="Arial" w:cs="Arial" w:eastAsia="Arial" w:hAnsi="Arial"/>
          <w:b/>
          <w:bCs/>
          <w:color w:val="2E74B5"/>
          <w:sz w:val="40"/>
          <w:szCs w:val="40"/>
        </w:rPr>
        <w:t xml:space="preserve">DOCUMENTO DE ARQUITECTURA DEL SISTEMA</w:t>
      </w:r>
    </w:p>
    <w:p>
      <w:pPr>
        <w:spacing w:after="60" w:before="60"/>
        <w:jc w:val="center"/>
      </w:pPr>
      <w:r>
        <w:rPr>
          <w:rFonts w:ascii="Arial" w:cs="Arial" w:eastAsia="Arial" w:hAnsi="Arial"/>
          <w:i/>
          <w:iCs/>
          <w:color w:val="666666"/>
          <w:sz w:val="22"/>
          <w:szCs w:val="22"/>
        </w:rPr>
        <w:t xml:space="preserve">Decisiones de diseño · Estructura modular · Stack tecnológico</w:t>
      </w:r>
    </w:p>
    <w:p>
      <w:pPr>
        <w:spacing w:after="60" w:before="60"/>
      </w:pPr>
    </w:p>
    <w:p>
      <w:pPr>
        <w:spacing w:after="60" w:before="200"/>
        <w:jc w:val="center"/>
      </w:pPr>
      <w:r>
        <w:rPr>
          <w:rFonts w:ascii="Arial" w:cs="Arial" w:eastAsia="Arial" w:hAnsi="Arial"/>
          <w:b/>
          <w:bCs/>
          <w:color w:val="1F3864"/>
          <w:sz w:val="22"/>
          <w:szCs w:val="22"/>
        </w:rPr>
        <w:t xml:space="preserve">Elaborado por: Beymar Castillo Córdova (P2 — Dev)</w:t>
      </w:r>
    </w:p>
    <w:p>
      <w:pPr>
        <w:spacing w:after="40" w:before="40"/>
        <w:jc w:val="center"/>
      </w:pPr>
      <w:r>
        <w:rPr>
          <w:rFonts w:ascii="Arial" w:cs="Arial" w:eastAsia="Arial" w:hAnsi="Arial"/>
          <w:color w:val="777777"/>
          <w:sz w:val="20"/>
          <w:szCs w:val="20"/>
        </w:rPr>
        <w:t xml:space="preserve">Ingeniería de Software · Universidad Adventista de Bolivia · Abril 2026</w:t>
      </w:r>
    </w:p>
    <w:p>
      <w:r>
        <w:br w:type="page"/>
      </w:r>
    </w:p>
    <w:p>
      <w:pPr>
        <w:pStyle w:val="Heading1"/>
        <w:spacing w:after="120" w:before="320"/>
      </w:pPr>
      <w:r>
        <w:rPr>
          <w:rFonts w:ascii="Arial" w:cs="Arial" w:eastAsia="Arial" w:hAnsi="Arial"/>
          <w:b/>
          <w:bCs/>
          <w:color w:val="1F3864"/>
          <w:sz w:val="32"/>
          <w:szCs w:val="32"/>
        </w:rPr>
        <w:t xml:space="preserve">1. Introducción</w:t>
      </w:r>
    </w:p>
    <w:p>
      <w:pPr>
        <w:spacing w:after="60" w:before="60"/>
      </w:pPr>
      <w:r>
        <w:rPr>
          <w:rFonts w:ascii="Arial" w:cs="Arial" w:eastAsia="Arial" w:hAnsi="Arial"/>
          <w:b w:val="false"/>
          <w:bCs w:val="false"/>
          <w:i w:val="false"/>
          <w:iCs w:val="false"/>
          <w:color w:val="000000"/>
          <w:sz w:val="22"/>
          <w:szCs w:val="22"/>
        </w:rPr>
        <w:t xml:space="preserve">Este documento describe las decisiones de arquitectura tomadas para el sistema de gestión crediticia del BDP S.A.M. Incluye la justificación del patrón elegido, la comparación con alternativas descartadas, la estructura de carpetas, los módulos del sistema y el stack tecnológico.</w:t>
      </w:r>
    </w:p>
    <w:p>
      <w:pPr>
        <w:spacing w:after="60" w:before="60"/>
      </w:pPr>
    </w:p>
    <w:p>
      <w:pPr>
        <w:spacing w:after="60" w:before="60"/>
      </w:pPr>
      <w:r>
        <w:rPr>
          <w:rFonts w:ascii="Arial" w:cs="Arial" w:eastAsia="Arial" w:hAnsi="Arial"/>
          <w:b/>
          <w:bCs/>
          <w:i w:val="false"/>
          <w:iCs w:val="false"/>
          <w:color w:val="000000"/>
          <w:sz w:val="22"/>
          <w:szCs w:val="22"/>
        </w:rPr>
        <w:t xml:space="preserve">Corrección clave documentada:</w:t>
      </w:r>
    </w:p>
    <w:p>
      <w:pPr>
        <w:spacing w:after="60" w:before="60"/>
      </w:pPr>
      <w:r>
        <w:rPr>
          <w:rFonts w:ascii="Arial" w:cs="Arial" w:eastAsia="Arial" w:hAnsi="Arial"/>
          <w:b w:val="false"/>
          <w:bCs w:val="false"/>
          <w:i w:val="false"/>
          <w:iCs w:val="false"/>
          <w:color w:val="000000"/>
          <w:sz w:val="22"/>
          <w:szCs w:val="22"/>
        </w:rPr>
        <w:t xml:space="preserve">Durante el análisis inicial del proyecto se consideró la Arquitectura Hexagonal (Ports &amp; Adapters). Tras una revisión técnica del equipo, se determinó que dicho patrón introduce una complejidad estructural innecesaria para el plazo de 190 días hábiles y el tamaño del equipo (3 parejas). Se adoptó en su lugar la Arquitectura Monolítica Modular, que ofrece separación de responsabilidades sin la sobrecarga organizativa de la hexagonal.</w:t>
      </w:r>
    </w:p>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2. Decisión Arquitectónica — Monolítica Modular</w:t>
      </w:r>
    </w:p>
    <w:p>
      <w:pPr>
        <w:pStyle w:val="Heading2"/>
        <w:spacing w:after="80" w:before="200"/>
      </w:pPr>
      <w:r>
        <w:rPr>
          <w:rFonts w:ascii="Arial" w:cs="Arial" w:eastAsia="Arial" w:hAnsi="Arial"/>
          <w:b/>
          <w:bCs/>
          <w:color w:val="2E74B5"/>
          <w:sz w:val="26"/>
          <w:szCs w:val="26"/>
        </w:rPr>
        <w:t xml:space="preserve">2.1 Patrón Elegido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thick" w:color="2E74B5" w:sz="12"/>
              <w:bottom w:val="none"/>
              <w:right w:val="none"/>
            </w:tcBorders>
            <w:shd w:fill="EBF5FB" w:val="clear"/>
            <w:tcMar>
              <w:top w:type="dxa" w:w="120"/>
              <w:left w:type="dxa" w:w="180"/>
              <w:bottom w:type="dxa" w:w="120"/>
              <w:right w:type="dxa" w:w="180"/>
            </w:tcMar>
          </w:tcPr>
          <w:p>
            <w:r>
              <w:rPr>
                <w:rFonts w:ascii="Arial" w:cs="Arial" w:eastAsia="Arial" w:hAnsi="Arial"/>
                <w:b/>
                <w:bCs/>
                <w:color w:val="2E74B5"/>
                <w:sz w:val="22"/>
                <w:szCs w:val="22"/>
              </w:rPr>
              <w:t xml:space="preserve">Arquitectura: Monolítica Modular</w:t>
            </w:r>
          </w:p>
          <w:p>
            <w:pPr>
              <w:spacing w:before="60"/>
            </w:pPr>
            <w:r>
              <w:rPr>
                <w:rFonts w:ascii="Arial" w:cs="Arial" w:eastAsia="Arial" w:hAnsi="Arial"/>
                <w:sz w:val="20"/>
                <w:szCs w:val="20"/>
              </w:rPr>
              <w:t xml:space="preserve">Un único artefacto desplegable (monolito) organizado internamente en módulos con responsabilidades claramente delimitadas. Cada módulo encapsula su lógica de negocio, rutas, controladores y acceso a datos. Los módulos se comunican mediante llamadas internas a funciones (no mediante HTTP), lo que elimina la latencia de red y simplifica el debugging.</w:t>
            </w:r>
          </w:p>
        </w:tc>
      </w:tr>
    </w:tbl>
    <w:p>
      <w:pPr>
        <w:spacing w:after="60" w:before="60"/>
      </w:pPr>
    </w:p>
    <w:p>
      <w:pPr>
        <w:pStyle w:val="Heading2"/>
        <w:spacing w:after="80" w:before="200"/>
      </w:pPr>
      <w:r>
        <w:rPr>
          <w:rFonts w:ascii="Arial" w:cs="Arial" w:eastAsia="Arial" w:hAnsi="Arial"/>
          <w:b/>
          <w:bCs/>
          <w:color w:val="2E74B5"/>
          <w:sz w:val="26"/>
          <w:szCs w:val="26"/>
        </w:rPr>
        <w:t xml:space="preserve">2.2 Tabla Comparativa de Alternativas</w:t>
      </w:r>
    </w:p>
    <w:p>
      <w:pPr>
        <w:spacing w:after="60" w:before="60"/>
      </w:pPr>
      <w:r>
        <w:rPr>
          <w:rFonts w:ascii="Arial" w:cs="Arial" w:eastAsia="Arial" w:hAnsi="Arial"/>
          <w:b w:val="false"/>
          <w:bCs w:val="false"/>
          <w:i w:val="false"/>
          <w:iCs w:val="false"/>
          <w:color w:val="000000"/>
          <w:sz w:val="22"/>
          <w:szCs w:val="22"/>
        </w:rPr>
        <w:t xml:space="preserve">Se evaluaron tres patrones antes de elegir:</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w:t>
            </w:r>
          </w:p>
        </w:tc>
        <w:tc>
          <w:tcPr>
            <w:tcW w:type="pct" w:w="26%"/>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Monolítica Modular ✅</w:t>
            </w:r>
          </w:p>
        </w:tc>
        <w:tc>
          <w:tcPr>
            <w:tcW w:type="pct" w:w="26%"/>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Hexagonal (Ports &amp; Adapters) ❌</w:t>
            </w:r>
          </w:p>
        </w:tc>
        <w:tc>
          <w:tcPr>
            <w:tcW w:type="pct" w:w="26%"/>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Microservicios ❌</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Complejidad inicial</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Baja — estructura clara y directa</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interfaces + adaptadores + puertos</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Muy alta — infra distribuida</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Separación de responsabilidades</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módulos independientes</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Muy alta — pero con overhead estructural</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Máxima — pero requiere orquestación</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Tiempo de implementación</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Óptimo para 190 días hábiles</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Requiere 30–40% más tiempo de setup</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Inviable en el plazo dado</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Escalabilidad</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Suficiente para 500 usuarios concurrentes</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Similar al monolito en práctica</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pero innecesaria en esta escala</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Curva de aprendizaje del equipo</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Baja — todos conocen MVC + Express</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Media-alta — requiere dominar puertos/adaptadores</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Docker, K8s, service mesh</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Testabilidad</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tests por módulo con Jest</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pero con más mocks de interfaces</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 pero con tests de integración complejos</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Debugging</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Simple — stack trace local</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Complejo — trazabilidad entre puertos</w:t>
            </w:r>
          </w:p>
        </w:tc>
        <w:tc>
          <w:tcPr>
            <w:tcW w:type="pct" w:w="2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Muy complejo — logs distribuidos</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Adecuación al proyecto</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SELECCIONADO</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Descartado — complejidad innecesaria</w:t>
            </w:r>
          </w:p>
        </w:tc>
        <w:tc>
          <w:tcPr>
            <w:tcW w:type="pct" w:w="2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Descartado — plazo inviable</w:t>
            </w:r>
          </w:p>
        </w:tc>
      </w:tr>
    </w:tbl>
    <w:p>
      <w:pPr>
        <w:spacing w:after="60" w:before="60"/>
      </w:pPr>
    </w:p>
    <w:p>
      <w:pPr>
        <w:pStyle w:val="Heading2"/>
        <w:spacing w:after="80" w:before="200"/>
      </w:pPr>
      <w:r>
        <w:rPr>
          <w:rFonts w:ascii="Arial" w:cs="Arial" w:eastAsia="Arial" w:hAnsi="Arial"/>
          <w:b/>
          <w:bCs/>
          <w:color w:val="2E74B5"/>
          <w:sz w:val="26"/>
          <w:szCs w:val="26"/>
        </w:rPr>
        <w:t xml:space="preserve">2.3 Justificación Técnica de la Decisión</w:t>
      </w:r>
    </w:p>
    <w:p>
      <w:pPr>
        <w:pStyle w:val="ListParagraph"/>
        <w:numPr>
          <w:ilvl w:val="0"/>
          <w:numId w:val="1"/>
        </w:numPr>
        <w:spacing w:after="40" w:before="40"/>
        <w:ind w:left="450"/>
      </w:pPr>
      <w:r>
        <w:rPr>
          <w:rFonts w:ascii="Arial" w:cs="Arial" w:eastAsia="Arial" w:hAnsi="Arial"/>
          <w:sz w:val="21"/>
          <w:szCs w:val="21"/>
        </w:rPr>
        <w:t xml:space="preserve">Plazo de 190 días hábiles: La arquitectura hexagonal requiere definir e implementar interfaces (puertos) y sus implementaciones (adaptadores) para cada dependencia externa. Este overhead estructural consumiría 30–40% más tiempo de configuración inicial, inviable en el cronograma aprobado.</w:t>
      </w:r>
    </w:p>
    <w:p>
      <w:pPr>
        <w:pStyle w:val="ListParagraph"/>
        <w:numPr>
          <w:ilvl w:val="0"/>
          <w:numId w:val="1"/>
        </w:numPr>
        <w:spacing w:after="40" w:before="40"/>
        <w:ind w:left="450"/>
      </w:pPr>
      <w:r>
        <w:rPr>
          <w:rFonts w:ascii="Arial" w:cs="Arial" w:eastAsia="Arial" w:hAnsi="Arial"/>
          <w:sz w:val="21"/>
          <w:szCs w:val="21"/>
        </w:rPr>
        <w:t xml:space="preserve">Equipo de 6 personas (3 parejas): La arquitectura hexagonal requiere que todos los integrantes dominen el concepto de puertos y adaptadores. La monolítica modular utiliza patrones MVC + Express que todo el equipo ya maneja con fluidez.</w:t>
      </w:r>
    </w:p>
    <w:p>
      <w:pPr>
        <w:pStyle w:val="ListParagraph"/>
        <w:numPr>
          <w:ilvl w:val="0"/>
          <w:numId w:val="1"/>
        </w:numPr>
        <w:spacing w:after="40" w:before="40"/>
        <w:ind w:left="450"/>
      </w:pPr>
      <w:r>
        <w:rPr>
          <w:rFonts w:ascii="Arial" w:cs="Arial" w:eastAsia="Arial" w:hAnsi="Arial"/>
          <w:sz w:val="21"/>
          <w:szCs w:val="21"/>
        </w:rPr>
        <w:t xml:space="preserve">Escala del sistema (500 usuarios): La arquitectura monolítica modular es completamente suficiente para la carga esperada del BDP S.A.M. Los microservicios serían sobredimensionados y agregarían complejidad operativa innecesaria.</w:t>
      </w:r>
    </w:p>
    <w:p>
      <w:pPr>
        <w:pStyle w:val="ListParagraph"/>
        <w:numPr>
          <w:ilvl w:val="0"/>
          <w:numId w:val="1"/>
        </w:numPr>
        <w:spacing w:after="40" w:before="40"/>
        <w:ind w:left="450"/>
      </w:pPr>
      <w:r>
        <w:rPr>
          <w:rFonts w:ascii="Arial" w:cs="Arial" w:eastAsia="Arial" w:hAnsi="Arial"/>
          <w:sz w:val="21"/>
          <w:szCs w:val="21"/>
        </w:rPr>
        <w:t xml:space="preserve">Mantenibilidad: Al estar organizado en módulos, el código sigue siendo mantenible y cada módulo puede refactorizarse o extraerse a microservicio en el futuro si el BDP lo requiere.</w:t>
      </w:r>
    </w:p>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3. Estructura de Carpetas del Backend</w:t>
      </w:r>
    </w:p>
    <w:p>
      <w:pPr>
        <w:spacing w:after="60" w:before="60"/>
      </w:pPr>
      <w:r>
        <w:rPr>
          <w:rFonts w:ascii="Arial" w:cs="Arial" w:eastAsia="Arial" w:hAnsi="Arial"/>
          <w:b w:val="false"/>
          <w:bCs w:val="false"/>
          <w:i w:val="false"/>
          <w:iCs w:val="false"/>
          <w:color w:val="000000"/>
          <w:sz w:val="22"/>
          <w:szCs w:val="22"/>
        </w:rPr>
        <w:t xml:space="preserve">El backend en Node.js + Express está organizado por módulos funcionales. Cada módulo corresponde directamente a una épica del sistema:</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src/</w:t>
            </w:r>
          </w:p>
          <w:p>
            <w:pPr>
              <w:spacing w:after="20" w:before="20"/>
            </w:pPr>
            <w:r>
              <w:rPr>
                <w:rFonts w:ascii="Courier New" w:cs="Courier New" w:eastAsia="Courier New" w:hAnsi="Courier New"/>
                <w:color w:val="D4D4D4"/>
                <w:sz w:val="18"/>
                <w:szCs w:val="18"/>
              </w:rPr>
              <w:t xml:space="preserve">├── modules/</w:t>
            </w:r>
          </w:p>
          <w:p>
            <w:pPr>
              <w:spacing w:after="20" w:before="20"/>
            </w:pPr>
            <w:r>
              <w:rPr>
                <w:rFonts w:ascii="Courier New" w:cs="Courier New" w:eastAsia="Courier New" w:hAnsi="Courier New"/>
                <w:color w:val="D4D4D4"/>
                <w:sz w:val="18"/>
                <w:szCs w:val="18"/>
              </w:rPr>
              <w:t xml:space="preserve">│   ├── auth/               ← EP01 | HU-01 | Autenticación y roles (JWT + bcrypt)</w:t>
            </w:r>
          </w:p>
          <w:p>
            <w:pPr>
              <w:spacing w:after="20" w:before="20"/>
            </w:pPr>
            <w:r>
              <w:rPr>
                <w:rFonts w:ascii="Courier New" w:cs="Courier New" w:eastAsia="Courier New" w:hAnsi="Courier New"/>
                <w:color w:val="D4D4D4"/>
                <w:sz w:val="18"/>
                <w:szCs w:val="18"/>
              </w:rPr>
              <w:t xml:space="preserve">│   ├── auditoria/          ← EP01 | HU-02 | Auditoría WORM con SHA-256</w:t>
            </w:r>
          </w:p>
          <w:p>
            <w:pPr>
              <w:spacing w:after="20" w:before="20"/>
            </w:pPr>
            <w:r>
              <w:rPr>
                <w:rFonts w:ascii="Courier New" w:cs="Courier New" w:eastAsia="Courier New" w:hAnsi="Courier New"/>
                <w:color w:val="D4D4D4"/>
                <w:sz w:val="18"/>
                <w:szCs w:val="18"/>
              </w:rPr>
              <w:t xml:space="preserve">│   ├── solicitudes/        ← EP02 | HU-03, HU-04, HU-05 | Gestión de solicitudes</w:t>
            </w:r>
          </w:p>
          <w:p>
            <w:pPr>
              <w:spacing w:after="20" w:before="20"/>
            </w:pPr>
            <w:r>
              <w:rPr>
                <w:rFonts w:ascii="Courier New" w:cs="Courier New" w:eastAsia="Courier New" w:hAnsi="Courier New"/>
                <w:color w:val="D4D4D4"/>
                <w:sz w:val="18"/>
                <w:szCs w:val="18"/>
              </w:rPr>
              <w:t xml:space="preserve">│   ├── garantias/          ← EP02 | HU-12 | Registro y gestión de garantías</w:t>
            </w:r>
          </w:p>
          <w:p>
            <w:pPr>
              <w:spacing w:after="20" w:before="20"/>
            </w:pPr>
            <w:r>
              <w:rPr>
                <w:rFonts w:ascii="Courier New" w:cs="Courier New" w:eastAsia="Courier New" w:hAnsi="Courier New"/>
                <w:color w:val="D4D4D4"/>
                <w:sz w:val="18"/>
                <w:szCs w:val="18"/>
              </w:rPr>
              <w:t xml:space="preserve">│   ├── evaluacion/         ← EP03 | HU-06, HU-07 | Proyección ganadera y agrícola</w:t>
            </w:r>
          </w:p>
          <w:p>
            <w:pPr>
              <w:spacing w:after="20" w:before="20"/>
            </w:pPr>
            <w:r>
              <w:rPr>
                <w:rFonts w:ascii="Courier New" w:cs="Courier New" w:eastAsia="Courier New" w:hAnsi="Courier New"/>
                <w:color w:val="D4D4D4"/>
                <w:sz w:val="18"/>
                <w:szCs w:val="18"/>
              </w:rPr>
              <w:t xml:space="preserve">│   ├── riesgo/             ← EP04 | HU-08, HU-09 | Scoring y sincronización CORE</w:t>
            </w:r>
          </w:p>
          <w:p>
            <w:pPr>
              <w:spacing w:after="20" w:before="20"/>
            </w:pPr>
            <w:r>
              <w:rPr>
                <w:rFonts w:ascii="Courier New" w:cs="Courier New" w:eastAsia="Courier New" w:hAnsi="Courier New"/>
                <w:color w:val="D4D4D4"/>
                <w:sz w:val="18"/>
                <w:szCs w:val="18"/>
              </w:rPr>
              <w:t xml:space="preserve">│   ├── monitoreo/          ← EP06 | HU-11 | Alertas y cron job de cartera</w:t>
            </w:r>
          </w:p>
          <w:p>
            <w:pPr>
              <w:spacing w:after="20" w:before="20"/>
            </w:pPr>
            <w:r>
              <w:rPr>
                <w:rFonts w:ascii="Courier New" w:cs="Courier New" w:eastAsia="Courier New" w:hAnsi="Courier New"/>
                <w:color w:val="D4D4D4"/>
                <w:sz w:val="18"/>
                <w:szCs w:val="18"/>
              </w:rPr>
              <w:t xml:space="preserve">│   └── campo/              ← EP05 | HU-10 | Soporte offline PWA + IndexedDB</w:t>
            </w:r>
          </w:p>
          <w:p>
            <w:pPr>
              <w:spacing w:after="20" w:before="20"/>
            </w:pPr>
            <w:r>
              <w:rPr>
                <w:rFonts w:ascii="Courier New" w:cs="Courier New" w:eastAsia="Courier New" w:hAnsi="Courier New"/>
                <w:color w:val="D4D4D4"/>
                <w:sz w:val="18"/>
                <w:szCs w:val="18"/>
              </w:rPr>
              <w:t xml:space="preserve">├── shared/</w:t>
            </w:r>
          </w:p>
          <w:p>
            <w:pPr>
              <w:spacing w:after="20" w:before="20"/>
            </w:pPr>
            <w:r>
              <w:rPr>
                <w:rFonts w:ascii="Courier New" w:cs="Courier New" w:eastAsia="Courier New" w:hAnsi="Courier New"/>
                <w:color w:val="D4D4D4"/>
                <w:sz w:val="18"/>
                <w:szCs w:val="18"/>
              </w:rPr>
              <w:t xml:space="preserve">│   ├── middleware/         ← Auth middleware, logger, error handler</w:t>
            </w:r>
          </w:p>
          <w:p>
            <w:pPr>
              <w:spacing w:after="20" w:before="20"/>
            </w:pPr>
            <w:r>
              <w:rPr>
                <w:rFonts w:ascii="Courier New" w:cs="Courier New" w:eastAsia="Courier New" w:hAnsi="Courier New"/>
                <w:color w:val="D4D4D4"/>
                <w:sz w:val="18"/>
                <w:szCs w:val="18"/>
              </w:rPr>
              <w:t xml:space="preserve">│   ├── utils/              ← Helpers: fechas, formato, hash SHA-256</w:t>
            </w:r>
          </w:p>
          <w:p>
            <w:pPr>
              <w:spacing w:after="20" w:before="20"/>
            </w:pPr>
            <w:r>
              <w:rPr>
                <w:rFonts w:ascii="Courier New" w:cs="Courier New" w:eastAsia="Courier New" w:hAnsi="Courier New"/>
                <w:color w:val="D4D4D4"/>
                <w:sz w:val="18"/>
                <w:szCs w:val="18"/>
              </w:rPr>
              <w:t xml:space="preserve">│   └── config/             ← Variables de entorno, conexión DB</w:t>
            </w:r>
          </w:p>
          <w:p>
            <w:pPr>
              <w:spacing w:after="20" w:before="20"/>
            </w:pPr>
            <w:r>
              <w:rPr>
                <w:rFonts w:ascii="Courier New" w:cs="Courier New" w:eastAsia="Courier New" w:hAnsi="Courier New"/>
                <w:color w:val="D4D4D4"/>
                <w:sz w:val="18"/>
                <w:szCs w:val="18"/>
              </w:rPr>
              <w:t xml:space="preserve">├── database/</w:t>
            </w:r>
          </w:p>
          <w:p>
            <w:pPr>
              <w:spacing w:after="20" w:before="20"/>
            </w:pPr>
            <w:r>
              <w:rPr>
                <w:rFonts w:ascii="Courier New" w:cs="Courier New" w:eastAsia="Courier New" w:hAnsi="Courier New"/>
                <w:color w:val="D4D4D4"/>
                <w:sz w:val="18"/>
                <w:szCs w:val="18"/>
              </w:rPr>
              <w:t xml:space="preserve">│   ├── migrations/         ← Scripts DDL de PostgreSQL</w:t>
            </w:r>
          </w:p>
          <w:p>
            <w:pPr>
              <w:spacing w:after="20" w:before="20"/>
            </w:pPr>
            <w:r>
              <w:rPr>
                <w:rFonts w:ascii="Courier New" w:cs="Courier New" w:eastAsia="Courier New" w:hAnsi="Courier New"/>
                <w:color w:val="D4D4D4"/>
                <w:sz w:val="18"/>
                <w:szCs w:val="18"/>
              </w:rPr>
              <w:t xml:space="preserve">│   └── seeds/              ← Datos iniciales (roles, tipos de crédito)</w:t>
            </w:r>
          </w:p>
          <w:p>
            <w:pPr>
              <w:spacing w:after="20" w:before="20"/>
            </w:pPr>
            <w:r>
              <w:rPr>
                <w:rFonts w:ascii="Courier New" w:cs="Courier New" w:eastAsia="Courier New" w:hAnsi="Courier New"/>
                <w:color w:val="D4D4D4"/>
                <w:sz w:val="18"/>
                <w:szCs w:val="18"/>
              </w:rPr>
              <w:t xml:space="preserve">app.js                      ← Punto de entrada Express</w:t>
            </w:r>
          </w:p>
          <w:p>
            <w:pPr>
              <w:spacing w:after="20" w:before="20"/>
            </w:pPr>
            <w:r>
              <w:rPr>
                <w:rFonts w:ascii="Courier New" w:cs="Courier New" w:eastAsia="Courier New" w:hAnsi="Courier New"/>
                <w:color w:val="D4D4D4"/>
                <w:sz w:val="18"/>
                <w:szCs w:val="18"/>
              </w:rPr>
              <w:t xml:space="preserve">package.json</w:t>
            </w:r>
          </w:p>
        </w:tc>
      </w:tr>
    </w:tbl>
    <w:p>
      <w:pPr>
        <w:spacing w:after="60" w:before="60"/>
      </w:pPr>
    </w:p>
    <w:p>
      <w:pPr>
        <w:pStyle w:val="Heading2"/>
        <w:spacing w:after="80" w:before="200"/>
      </w:pPr>
      <w:r>
        <w:rPr>
          <w:rFonts w:ascii="Arial" w:cs="Arial" w:eastAsia="Arial" w:hAnsi="Arial"/>
          <w:b/>
          <w:bCs/>
          <w:color w:val="2E74B5"/>
          <w:sz w:val="26"/>
          <w:szCs w:val="26"/>
        </w:rPr>
        <w:t xml:space="preserve">3.1 Estructura interna de un módulo</w:t>
      </w:r>
    </w:p>
    <w:p>
      <w:pPr>
        <w:spacing w:after="60" w:before="60"/>
      </w:pPr>
      <w:r>
        <w:rPr>
          <w:rFonts w:ascii="Arial" w:cs="Arial" w:eastAsia="Arial" w:hAnsi="Arial"/>
          <w:b w:val="false"/>
          <w:bCs w:val="false"/>
          <w:i w:val="false"/>
          <w:iCs w:val="false"/>
          <w:color w:val="000000"/>
          <w:sz w:val="22"/>
          <w:szCs w:val="22"/>
        </w:rPr>
        <w:t xml:space="preserve">Cada módulo sigue la misma convención interna (ejemplo: módulo auth):</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src/modules/auth/</w:t>
            </w:r>
          </w:p>
          <w:p>
            <w:pPr>
              <w:spacing w:after="20" w:before="20"/>
            </w:pPr>
            <w:r>
              <w:rPr>
                <w:rFonts w:ascii="Courier New" w:cs="Courier New" w:eastAsia="Courier New" w:hAnsi="Courier New"/>
                <w:color w:val="D4D4D4"/>
                <w:sz w:val="18"/>
                <w:szCs w:val="18"/>
              </w:rPr>
              <w:t xml:space="preserve">├── auth.routes.js          ← Definición de endpoints REST</w:t>
            </w:r>
          </w:p>
          <w:p>
            <w:pPr>
              <w:spacing w:after="20" w:before="20"/>
            </w:pPr>
            <w:r>
              <w:rPr>
                <w:rFonts w:ascii="Courier New" w:cs="Courier New" w:eastAsia="Courier New" w:hAnsi="Courier New"/>
                <w:color w:val="D4D4D4"/>
                <w:sz w:val="18"/>
                <w:szCs w:val="18"/>
              </w:rPr>
              <w:t xml:space="preserve">├── auth.controller.js      ← Lógica de request/response HTTP</w:t>
            </w:r>
          </w:p>
          <w:p>
            <w:pPr>
              <w:spacing w:after="20" w:before="20"/>
            </w:pPr>
            <w:r>
              <w:rPr>
                <w:rFonts w:ascii="Courier New" w:cs="Courier New" w:eastAsia="Courier New" w:hAnsi="Courier New"/>
                <w:color w:val="D4D4D4"/>
                <w:sz w:val="18"/>
                <w:szCs w:val="18"/>
              </w:rPr>
              <w:t xml:space="preserve">├── auth.service.js         ← Lógica de negocio pura</w:t>
            </w:r>
          </w:p>
          <w:p>
            <w:pPr>
              <w:spacing w:after="20" w:before="20"/>
            </w:pPr>
            <w:r>
              <w:rPr>
                <w:rFonts w:ascii="Courier New" w:cs="Courier New" w:eastAsia="Courier New" w:hAnsi="Courier New"/>
                <w:color w:val="D4D4D4"/>
                <w:sz w:val="18"/>
                <w:szCs w:val="18"/>
              </w:rPr>
              <w:t xml:space="preserve">├── auth.repository.js      ← Consultas a PostgreSQL</w:t>
            </w:r>
          </w:p>
          <w:p>
            <w:pPr>
              <w:spacing w:after="20" w:before="20"/>
            </w:pPr>
            <w:r>
              <w:rPr>
                <w:rFonts w:ascii="Courier New" w:cs="Courier New" w:eastAsia="Courier New" w:hAnsi="Courier New"/>
                <w:color w:val="D4D4D4"/>
                <w:sz w:val="18"/>
                <w:szCs w:val="18"/>
              </w:rPr>
              <w:t xml:space="preserve">└── auth.test.js            ← Tests unitarios con Jest</w:t>
            </w:r>
          </w:p>
        </w:tc>
      </w:tr>
    </w:tbl>
    <w:p>
      <w:pPr>
        <w:spacing w:after="60" w:before="60"/>
      </w:pPr>
    </w:p>
    <w:p>
      <w:pPr>
        <w:pStyle w:val="Heading2"/>
        <w:spacing w:after="80" w:before="200"/>
      </w:pPr>
      <w:r>
        <w:rPr>
          <w:rFonts w:ascii="Arial" w:cs="Arial" w:eastAsia="Arial" w:hAnsi="Arial"/>
          <w:b/>
          <w:bCs/>
          <w:color w:val="2E74B5"/>
          <w:sz w:val="26"/>
          <w:szCs w:val="26"/>
        </w:rPr>
        <w:t xml:space="preserve">3.2 Estructura del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frontend/src/</w:t>
            </w:r>
          </w:p>
          <w:p>
            <w:pPr>
              <w:spacing w:after="20" w:before="20"/>
            </w:pPr>
            <w:r>
              <w:rPr>
                <w:rFonts w:ascii="Courier New" w:cs="Courier New" w:eastAsia="Courier New" w:hAnsi="Courier New"/>
                <w:color w:val="D4D4D4"/>
                <w:sz w:val="18"/>
                <w:szCs w:val="18"/>
              </w:rPr>
              <w:t xml:space="preserve">├── pages/                  ← Vistas principales por módulo</w:t>
            </w:r>
          </w:p>
          <w:p>
            <w:pPr>
              <w:spacing w:after="20" w:before="20"/>
            </w:pPr>
            <w:r>
              <w:rPr>
                <w:rFonts w:ascii="Courier New" w:cs="Courier New" w:eastAsia="Courier New" w:hAnsi="Courier New"/>
                <w:color w:val="D4D4D4"/>
                <w:sz w:val="18"/>
                <w:szCs w:val="18"/>
              </w:rPr>
              <w:t xml:space="preserve">│   ├── Login.jsx</w:t>
            </w:r>
          </w:p>
          <w:p>
            <w:pPr>
              <w:spacing w:after="20" w:before="20"/>
            </w:pPr>
            <w:r>
              <w:rPr>
                <w:rFonts w:ascii="Courier New" w:cs="Courier New" w:eastAsia="Courier New" w:hAnsi="Courier New"/>
                <w:color w:val="D4D4D4"/>
                <w:sz w:val="18"/>
                <w:szCs w:val="18"/>
              </w:rPr>
              <w:t xml:space="preserve">│   ├── Dashboard.jsx</w:t>
            </w:r>
          </w:p>
          <w:p>
            <w:pPr>
              <w:spacing w:after="20" w:before="20"/>
            </w:pPr>
            <w:r>
              <w:rPr>
                <w:rFonts w:ascii="Courier New" w:cs="Courier New" w:eastAsia="Courier New" w:hAnsi="Courier New"/>
                <w:color w:val="D4D4D4"/>
                <w:sz w:val="18"/>
                <w:szCs w:val="18"/>
              </w:rPr>
              <w:t xml:space="preserve">│   ├── Solicitudes.jsx</w:t>
            </w:r>
          </w:p>
          <w:p>
            <w:pPr>
              <w:spacing w:after="20" w:before="20"/>
            </w:pPr>
            <w:r>
              <w:rPr>
                <w:rFonts w:ascii="Courier New" w:cs="Courier New" w:eastAsia="Courier New" w:hAnsi="Courier New"/>
                <w:color w:val="D4D4D4"/>
                <w:sz w:val="18"/>
                <w:szCs w:val="18"/>
              </w:rPr>
              <w:t xml:space="preserve">│   ├── Evaluacion.jsx</w:t>
            </w:r>
          </w:p>
          <w:p>
            <w:pPr>
              <w:spacing w:after="20" w:before="20"/>
            </w:pPr>
            <w:r>
              <w:rPr>
                <w:rFonts w:ascii="Courier New" w:cs="Courier New" w:eastAsia="Courier New" w:hAnsi="Courier New"/>
                <w:color w:val="D4D4D4"/>
                <w:sz w:val="18"/>
                <w:szCs w:val="18"/>
              </w:rPr>
              <w:t xml:space="preserve">│   └── Monitoreo.jsx</w:t>
            </w:r>
          </w:p>
          <w:p>
            <w:pPr>
              <w:spacing w:after="20" w:before="20"/>
            </w:pPr>
            <w:r>
              <w:rPr>
                <w:rFonts w:ascii="Courier New" w:cs="Courier New" w:eastAsia="Courier New" w:hAnsi="Courier New"/>
                <w:color w:val="D4D4D4"/>
                <w:sz w:val="18"/>
                <w:szCs w:val="18"/>
              </w:rPr>
              <w:t xml:space="preserve">├── components/             ← Componentes reutilizables</w:t>
            </w:r>
          </w:p>
          <w:p>
            <w:pPr>
              <w:spacing w:after="20" w:before="20"/>
            </w:pPr>
            <w:r>
              <w:rPr>
                <w:rFonts w:ascii="Courier New" w:cs="Courier New" w:eastAsia="Courier New" w:hAnsi="Courier New"/>
                <w:color w:val="D4D4D4"/>
                <w:sz w:val="18"/>
                <w:szCs w:val="18"/>
              </w:rPr>
              <w:t xml:space="preserve">├── hooks/                  ← Custom hooks (useAuth, useOffline)</w:t>
            </w:r>
          </w:p>
          <w:p>
            <w:pPr>
              <w:spacing w:after="20" w:before="20"/>
            </w:pPr>
            <w:r>
              <w:rPr>
                <w:rFonts w:ascii="Courier New" w:cs="Courier New" w:eastAsia="Courier New" w:hAnsi="Courier New"/>
                <w:color w:val="D4D4D4"/>
                <w:sz w:val="18"/>
                <w:szCs w:val="18"/>
              </w:rPr>
              <w:t xml:space="preserve">├── services/               ← Llamadas a la API con axios</w:t>
            </w:r>
          </w:p>
          <w:p>
            <w:pPr>
              <w:spacing w:after="20" w:before="20"/>
            </w:pPr>
            <w:r>
              <w:rPr>
                <w:rFonts w:ascii="Courier New" w:cs="Courier New" w:eastAsia="Courier New" w:hAnsi="Courier New"/>
                <w:color w:val="D4D4D4"/>
                <w:sz w:val="18"/>
                <w:szCs w:val="18"/>
              </w:rPr>
              <w:t xml:space="preserve">├── store/                  ← Estado global (Context API o Zustand)</w:t>
            </w:r>
          </w:p>
          <w:p>
            <w:pPr>
              <w:spacing w:after="20" w:before="20"/>
            </w:pPr>
            <w:r>
              <w:rPr>
                <w:rFonts w:ascii="Courier New" w:cs="Courier New" w:eastAsia="Courier New" w:hAnsi="Courier New"/>
                <w:color w:val="D4D4D4"/>
                <w:sz w:val="18"/>
                <w:szCs w:val="18"/>
              </w:rPr>
              <w:t xml:space="preserve">└── sw.js                   ← Service Worker para modo offline (PWA)</w:t>
            </w:r>
          </w:p>
        </w:tc>
      </w:tr>
    </w:tbl>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4. Módulos del Sistema y su Relación con las Historias de Usuario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Módulo (carpeta)</w:t>
            </w:r>
          </w:p>
        </w:tc>
        <w:tc>
          <w:tcPr>
            <w:tcW w:type="pct" w:w="8%"/>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Épica</w:t>
            </w:r>
          </w:p>
        </w:tc>
        <w:tc>
          <w:tcPr>
            <w:tcW w:type="pct" w:w="14%"/>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HUs</w:t>
            </w:r>
          </w:p>
        </w:tc>
        <w:tc>
          <w:tcPr>
            <w:tcW w:type="pct" w:w="42%"/>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 Principal</w:t>
            </w:r>
          </w:p>
        </w:tc>
        <w:tc>
          <w:tcPr>
            <w:tcW w:type="pct" w:w="18%"/>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Pareja</w:t>
            </w:r>
          </w:p>
        </w:tc>
      </w:tr>
      <w:tr>
        <w:trPr>
          <w:tblHeader w:val="false"/>
        </w:trPr>
        <w:tc>
          <w:tcPr>
            <w:tcW w:type="pct" w:w="1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pct" w:w="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EP01</w:t>
            </w:r>
          </w:p>
        </w:tc>
        <w:tc>
          <w:tcPr>
            <w:tcW w:type="pct" w:w="14%"/>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HU-01</w:t>
            </w:r>
          </w:p>
        </w:tc>
        <w:tc>
          <w:tcPr>
            <w:tcW w:type="pct" w:w="4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Control de acceso RBAC, JWT, bloqueo tras 3 intentos fallidos</w:t>
            </w:r>
          </w:p>
        </w:tc>
        <w:tc>
          <w:tcPr>
            <w:tcW w:type="pct" w:w="1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P1 Roger+Kevin</w:t>
            </w:r>
          </w:p>
        </w:tc>
      </w:tr>
      <w:tr>
        <w:trPr>
          <w:tblHeader w:val="false"/>
        </w:trPr>
        <w:tc>
          <w:tcPr>
            <w:tcW w:type="pct" w:w="1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auditoria/</w:t>
            </w:r>
          </w:p>
        </w:tc>
        <w:tc>
          <w:tcPr>
            <w:tcW w:type="pct" w:w="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EP01</w:t>
            </w:r>
          </w:p>
        </w:tc>
        <w:tc>
          <w:tcPr>
            <w:tcW w:type="pct" w:w="14%"/>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HU-02</w:t>
            </w:r>
          </w:p>
        </w:tc>
        <w:tc>
          <w:tcPr>
            <w:tcW w:type="pct" w:w="4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Registro WORM inalterable con encadenamiento SHA-256</w:t>
            </w:r>
          </w:p>
        </w:tc>
        <w:tc>
          <w:tcPr>
            <w:tcW w:type="pct" w:w="1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P2 Beymar+Abigail</w:t>
            </w:r>
          </w:p>
        </w:tc>
      </w:tr>
      <w:tr>
        <w:trPr>
          <w:tblHeader w:val="false"/>
        </w:trPr>
        <w:tc>
          <w:tcPr>
            <w:tcW w:type="pct" w:w="1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solicitudes/</w:t>
            </w:r>
          </w:p>
        </w:tc>
        <w:tc>
          <w:tcPr>
            <w:tcW w:type="pct" w:w="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EP02</w:t>
            </w:r>
          </w:p>
        </w:tc>
        <w:tc>
          <w:tcPr>
            <w:tcW w:type="pct" w:w="14%"/>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HU-03, 04, 05</w:t>
            </w:r>
          </w:p>
        </w:tc>
        <w:tc>
          <w:tcPr>
            <w:tcW w:type="pct" w:w="4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Flujo crediticio: comité, documentos digitales, checklist inteligente</w:t>
            </w:r>
          </w:p>
        </w:tc>
        <w:tc>
          <w:tcPr>
            <w:tcW w:type="pct" w:w="1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P1 Roger+Kevin / P2 Beymar+Abigail</w:t>
            </w:r>
          </w:p>
        </w:tc>
      </w:tr>
      <w:tr>
        <w:trPr>
          <w:tblHeader w:val="false"/>
        </w:trPr>
        <w:tc>
          <w:tcPr>
            <w:tcW w:type="pct" w:w="1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garantias/</w:t>
            </w:r>
          </w:p>
        </w:tc>
        <w:tc>
          <w:tcPr>
            <w:tcW w:type="pct" w:w="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EP02</w:t>
            </w:r>
          </w:p>
        </w:tc>
        <w:tc>
          <w:tcPr>
            <w:tcW w:type="pct" w:w="14%"/>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HU-12</w:t>
            </w:r>
          </w:p>
        </w:tc>
        <w:tc>
          <w:tcPr>
            <w:tcW w:type="pct" w:w="4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Registro, consulta y actualización de garantías por solicitud</w:t>
            </w:r>
          </w:p>
        </w:tc>
        <w:tc>
          <w:tcPr>
            <w:tcW w:type="pct" w:w="1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P3 Alcozer+Miguel</w:t>
            </w:r>
          </w:p>
        </w:tc>
      </w:tr>
      <w:tr>
        <w:trPr>
          <w:tblHeader w:val="false"/>
        </w:trPr>
        <w:tc>
          <w:tcPr>
            <w:tcW w:type="pct" w:w="1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evaluacion/</w:t>
            </w:r>
          </w:p>
        </w:tc>
        <w:tc>
          <w:tcPr>
            <w:tcW w:type="pct" w:w="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EP03</w:t>
            </w:r>
          </w:p>
        </w:tc>
        <w:tc>
          <w:tcPr>
            <w:tcW w:type="pct" w:w="14%"/>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HU-06, 07</w:t>
            </w:r>
          </w:p>
        </w:tc>
        <w:tc>
          <w:tcPr>
            <w:tcW w:type="pct" w:w="4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Proyección ganadera (hato) y simulación de escenarios agrícolas</w:t>
            </w:r>
          </w:p>
        </w:tc>
        <w:tc>
          <w:tcPr>
            <w:tcW w:type="pct" w:w="1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P3 Alcozer+Miguel / P1 Roger+Kevin</w:t>
            </w:r>
          </w:p>
        </w:tc>
      </w:tr>
      <w:tr>
        <w:trPr>
          <w:tblHeader w:val="false"/>
        </w:trPr>
        <w:tc>
          <w:tcPr>
            <w:tcW w:type="pct" w:w="1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riesgo/</w:t>
            </w:r>
          </w:p>
        </w:tc>
        <w:tc>
          <w:tcPr>
            <w:tcW w:type="pct" w:w="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EP04</w:t>
            </w:r>
          </w:p>
        </w:tc>
        <w:tc>
          <w:tcPr>
            <w:tcW w:type="pct" w:w="14%"/>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HU-08, 09</w:t>
            </w:r>
          </w:p>
        </w:tc>
        <w:tc>
          <w:tcPr>
            <w:tcW w:type="pct" w:w="4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Scoring crediticio (API Fintech) y sincronización con CORE bancario</w:t>
            </w:r>
          </w:p>
        </w:tc>
        <w:tc>
          <w:tcPr>
            <w:tcW w:type="pct" w:w="1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P2 Beymar+Abigail / P3 Alcozer+Miguel</w:t>
            </w:r>
          </w:p>
        </w:tc>
      </w:tr>
      <w:tr>
        <w:trPr>
          <w:tblHeader w:val="false"/>
        </w:trPr>
        <w:tc>
          <w:tcPr>
            <w:tcW w:type="pct" w:w="1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campo/</w:t>
            </w:r>
          </w:p>
        </w:tc>
        <w:tc>
          <w:tcPr>
            <w:tcW w:type="pct" w:w="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EP05</w:t>
            </w:r>
          </w:p>
        </w:tc>
        <w:tc>
          <w:tcPr>
            <w:tcW w:type="pct" w:w="14%"/>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HU-10</w:t>
            </w:r>
          </w:p>
        </w:tc>
        <w:tc>
          <w:tcPr>
            <w:tcW w:type="pct" w:w="4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Trabajo offline con PWA e IndexedDB, sincronización automática</w:t>
            </w:r>
          </w:p>
        </w:tc>
        <w:tc>
          <w:tcPr>
            <w:tcW w:type="pct" w:w="1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P1 Roger+Kevin</w:t>
            </w:r>
          </w:p>
        </w:tc>
      </w:tr>
      <w:tr>
        <w:trPr>
          <w:tblHeader w:val="false"/>
        </w:trPr>
        <w:tc>
          <w:tcPr>
            <w:tcW w:type="pct" w:w="1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monitoreo/</w:t>
            </w:r>
          </w:p>
        </w:tc>
        <w:tc>
          <w:tcPr>
            <w:tcW w:type="pct" w:w="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EP06</w:t>
            </w:r>
          </w:p>
        </w:tc>
        <w:tc>
          <w:tcPr>
            <w:tcW w:type="pct" w:w="14%"/>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HU-11</w:t>
            </w:r>
          </w:p>
        </w:tc>
        <w:tc>
          <w:tcPr>
            <w:tcW w:type="pct" w:w="4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Dashboard de cartera activa y alertas via cron job (node-cron)</w:t>
            </w:r>
          </w:p>
        </w:tc>
        <w:tc>
          <w:tcPr>
            <w:tcW w:type="pct" w:w="1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P2 Beymar+Abigail</w:t>
            </w:r>
          </w:p>
        </w:tc>
      </w:tr>
    </w:tbl>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5. Stack Tecnológico</w:t>
      </w:r>
    </w:p>
    <w:p>
      <w:pPr>
        <w:pStyle w:val="Heading2"/>
        <w:spacing w:after="80" w:before="200"/>
      </w:pPr>
      <w:r>
        <w:rPr>
          <w:rFonts w:ascii="Arial" w:cs="Arial" w:eastAsia="Arial" w:hAnsi="Arial"/>
          <w:b/>
          <w:bCs/>
          <w:color w:val="2E74B5"/>
          <w:sz w:val="26"/>
          <w:szCs w:val="26"/>
        </w:rPr>
        <w:t xml:space="preserve">5.1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Tecnología</w:t>
            </w:r>
          </w:p>
        </w:tc>
        <w:tc>
          <w:tcPr>
            <w:tcW w:type="pct" w:w="12%"/>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pct" w:w="68%"/>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el Sistema</w:t>
            </w:r>
          </w:p>
        </w:tc>
      </w:tr>
      <w:tr>
        <w:trPr>
          <w:tblHeader w:val="false"/>
        </w:trPr>
        <w:tc>
          <w:tcPr>
            <w:tcW w:type="pct" w:w="20%"/>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pct" w:w="6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Framework de UI — componentes del dashboard, formularios de solicitud y evaluación</w:t>
            </w:r>
          </w:p>
        </w:tc>
      </w:tr>
      <w:tr>
        <w:trPr>
          <w:tblHeader w:val="false"/>
        </w:trPr>
        <w:tc>
          <w:tcPr>
            <w:tcW w:type="pct" w:w="20%"/>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Bundler y servidor de desarrollo — hot reload en desarrollo</w:t>
            </w:r>
          </w:p>
        </w:tc>
      </w:tr>
      <w:tr>
        <w:trPr>
          <w:tblHeader w:val="false"/>
        </w:trPr>
        <w:tc>
          <w:tcPr>
            <w:tcW w:type="pct" w:w="20%"/>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Axios</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Cliente HTTP para consumo de la API REST del backend</w:t>
            </w:r>
          </w:p>
        </w:tc>
      </w:tr>
      <w:tr>
        <w:trPr>
          <w:tblHeader w:val="false"/>
        </w:trPr>
        <w:tc>
          <w:tcPr>
            <w:tcW w:type="pct" w:w="20%"/>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jsPDF</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Generación de reportes PDF directamente desde el navegador (HU-11)</w:t>
            </w:r>
          </w:p>
        </w:tc>
      </w:tr>
      <w:tr>
        <w:trPr>
          <w:tblHeader w:val="false"/>
        </w:trPr>
        <w:tc>
          <w:tcPr>
            <w:tcW w:type="pct" w:w="20%"/>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ExcelJS</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Exportación de reportes a formato Excel (HU-11)</w:t>
            </w:r>
          </w:p>
        </w:tc>
      </w:tr>
      <w:tr>
        <w:trPr>
          <w:tblHeader w:val="false"/>
        </w:trPr>
        <w:tc>
          <w:tcPr>
            <w:tcW w:type="pct" w:w="20%"/>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PWA + Service Worker</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pct" w:w="68%"/>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Modo offline: caché de assets y sincronización diferida (HU-10)</w:t>
            </w:r>
          </w:p>
        </w:tc>
      </w:tr>
      <w:tr>
        <w:trPr>
          <w:tblHeader w:val="false"/>
        </w:trPr>
        <w:tc>
          <w:tcPr>
            <w:tcW w:type="pct" w:w="20%"/>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IndexedDB</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pct" w:w="68%"/>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Almacenamiento local en el navegador para datos de campo sin conexión (HU-10)</w:t>
            </w:r>
          </w:p>
        </w:tc>
      </w:tr>
    </w:tbl>
    <w:p>
      <w:pPr>
        <w:spacing w:after="60" w:before="60"/>
      </w:pPr>
    </w:p>
    <w:p>
      <w:pPr>
        <w:pStyle w:val="Heading2"/>
        <w:spacing w:after="80" w:before="200"/>
      </w:pPr>
      <w:r>
        <w:rPr>
          <w:rFonts w:ascii="Arial" w:cs="Arial" w:eastAsia="Arial" w:hAnsi="Arial"/>
          <w:b/>
          <w:bCs/>
          <w:color w:val="2E74B5"/>
          <w:sz w:val="26"/>
          <w:szCs w:val="26"/>
        </w:rPr>
        <w:t xml:space="preserve">5.2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Tecnología</w:t>
            </w:r>
          </w:p>
        </w:tc>
        <w:tc>
          <w:tcPr>
            <w:tcW w:type="pct" w:w="12%"/>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pct" w:w="66%"/>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el Sistema</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 LTS</w:t>
            </w:r>
          </w:p>
        </w:tc>
        <w:tc>
          <w:tcPr>
            <w:tcW w:type="pct" w:w="6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Entorno de ejecución del servidor</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Express.js</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pct" w:w="6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Framework REST API — enrutamiento, middlewares, controladores</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(jsonwebtoken)</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Autenticación stateless con tokens de expiración configurable (HU-01)</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bcrypt</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Hash seguro de contraseñas — protección de credenciales (HU-01)</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node-cron</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Tareas programadas — cron job cada 60s para alertas de vencimiento (HU-11)</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SHA-256 (crypto)</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Built-in</w:t>
            </w:r>
          </w:p>
        </w:tc>
        <w:tc>
          <w:tcPr>
            <w:tcW w:type="pct" w:w="6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Encadenamiento de registros de auditoría WORM (HU-02)</w:t>
            </w:r>
          </w:p>
        </w:tc>
      </w:tr>
      <w:tr>
        <w:trPr>
          <w:tblHeader w:val="false"/>
        </w:trPr>
        <w:tc>
          <w:tcPr>
            <w:tcW w:type="pct" w:w="22%"/>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Multer</w:t>
            </w:r>
          </w:p>
        </w:tc>
        <w:tc>
          <w:tcPr>
            <w:tcW w:type="pct" w:w="1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6%"/>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Carga de archivos PDF/JPG/PNG al expediente digital (HU-04)</w:t>
            </w:r>
          </w:p>
        </w:tc>
      </w:tr>
      <w:tr>
        <w:trPr>
          <w:tblHeader w:val="false"/>
        </w:trPr>
        <w:tc>
          <w:tcPr>
            <w:tcW w:type="pct" w:w="22%"/>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Jest</w:t>
            </w:r>
          </w:p>
        </w:tc>
        <w:tc>
          <w:tcPr>
            <w:tcW w:type="pct" w:w="1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Latest</w:t>
            </w:r>
          </w:p>
        </w:tc>
        <w:tc>
          <w:tcPr>
            <w:tcW w:type="pct" w:w="66%"/>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Testing unitario e integración por módulo — cobertura 95%</w:t>
            </w:r>
          </w:p>
        </w:tc>
      </w:tr>
    </w:tbl>
    <w:p>
      <w:pPr>
        <w:spacing w:after="60" w:before="60"/>
      </w:pPr>
    </w:p>
    <w:p>
      <w:pPr>
        <w:pStyle w:val="Heading2"/>
        <w:spacing w:after="80" w:before="200"/>
      </w:pPr>
      <w:r>
        <w:rPr>
          <w:rFonts w:ascii="Arial" w:cs="Arial" w:eastAsia="Arial" w:hAnsi="Arial"/>
          <w:b/>
          <w:bCs/>
          <w:color w:val="2E74B5"/>
          <w:sz w:val="26"/>
          <w:szCs w:val="26"/>
        </w:rPr>
        <w:t xml:space="preserve">5.3 Base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Tecnología</w:t>
            </w:r>
          </w:p>
        </w:tc>
        <w:tc>
          <w:tcPr>
            <w:tcW w:type="pct" w:w="72%"/>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el Sistema</w:t>
            </w:r>
          </w:p>
        </w:tc>
      </w:tr>
      <w:tr>
        <w:trPr>
          <w:tblHeader w:val="false"/>
        </w:trPr>
        <w:tc>
          <w:tcPr>
            <w:tcW w:type="pct" w:w="2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15</w:t>
            </w:r>
          </w:p>
        </w:tc>
        <w:tc>
          <w:tcPr>
            <w:tcW w:type="pct" w:w="7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Base de datos relacional principal — solicitudes, usuarios, garantías, auditoría</w:t>
            </w:r>
          </w:p>
        </w:tc>
      </w:tr>
      <w:tr>
        <w:trPr>
          <w:tblHeader w:val="false"/>
        </w:trPr>
        <w:tc>
          <w:tcPr>
            <w:tcW w:type="pct" w:w="2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Replicación activa</w:t>
            </w:r>
          </w:p>
        </w:tc>
        <w:tc>
          <w:tcPr>
            <w:tcW w:type="pct" w:w="7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Alta disponibilidad — réplica en lectura para reportes sin afectar producción</w:t>
            </w:r>
          </w:p>
        </w:tc>
      </w:tr>
      <w:tr>
        <w:trPr>
          <w:tblHeader w:val="false"/>
        </w:trPr>
        <w:tc>
          <w:tcPr>
            <w:tcW w:type="pct" w:w="2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Backups automáticos diarios</w:t>
            </w:r>
          </w:p>
        </w:tc>
        <w:tc>
          <w:tcPr>
            <w:tcW w:type="pct" w:w="7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Recuperación ante desastres — retención 30 días</w:t>
            </w:r>
          </w:p>
        </w:tc>
      </w:tr>
      <w:tr>
        <w:trPr>
          <w:tblHeader w:val="false"/>
        </w:trPr>
        <w:tc>
          <w:tcPr>
            <w:tcW w:type="pct" w:w="2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Logs WORM</w:t>
            </w:r>
          </w:p>
        </w:tc>
        <w:tc>
          <w:tcPr>
            <w:tcW w:type="pct" w:w="7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Tabla de auditoría con flag de inmutabilidad — no permite UPDATE/DELETE (HU-02)</w:t>
            </w:r>
          </w:p>
        </w:tc>
      </w:tr>
    </w:tbl>
    <w:p>
      <w:pPr>
        <w:spacing w:after="60" w:before="60"/>
      </w:pPr>
    </w:p>
    <w:p>
      <w:pPr>
        <w:pStyle w:val="Heading2"/>
        <w:spacing w:after="80" w:before="200"/>
      </w:pPr>
      <w:r>
        <w:rPr>
          <w:rFonts w:ascii="Arial" w:cs="Arial" w:eastAsia="Arial" w:hAnsi="Arial"/>
          <w:b/>
          <w:bCs/>
          <w:color w:val="2E74B5"/>
          <w:sz w:val="26"/>
          <w:szCs w:val="26"/>
        </w:rPr>
        <w:t xml:space="preserve">5.4 Seguridad e Integración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Componente</w:t>
            </w:r>
          </w:p>
        </w:tc>
        <w:tc>
          <w:tcPr>
            <w:tcW w:type="pct" w:w="72%"/>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rPr>
          <w:tblHeader w:val="false"/>
        </w:trPr>
        <w:tc>
          <w:tcPr>
            <w:tcW w:type="pct" w:w="2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SSL/TLS</w:t>
            </w:r>
          </w:p>
        </w:tc>
        <w:tc>
          <w:tcPr>
            <w:tcW w:type="pct" w:w="7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Certificados para cifrado de tráfico entre cliente, servidor y CORE bancario</w:t>
            </w:r>
          </w:p>
        </w:tc>
      </w:tr>
      <w:tr>
        <w:trPr>
          <w:tblHeader w:val="false"/>
        </w:trPr>
        <w:tc>
          <w:tcPr>
            <w:tcW w:type="pct" w:w="2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REST con CORE bancario</w:t>
            </w:r>
          </w:p>
        </w:tc>
        <w:tc>
          <w:tcPr>
            <w:tcW w:type="pct" w:w="7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Sincronización vía HTTP con reintentos automáticos (máx. 3) y registro de fallos (HU-09)</w:t>
            </w:r>
          </w:p>
        </w:tc>
      </w:tr>
      <w:tr>
        <w:trPr>
          <w:tblHeader w:val="false"/>
        </w:trPr>
        <w:tc>
          <w:tcPr>
            <w:tcW w:type="pct" w:w="2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Fintech (Scoring)</w:t>
            </w:r>
          </w:p>
        </w:tc>
        <w:tc>
          <w:tcPr>
            <w:tcW w:type="pct" w:w="7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Consumo externo para clasificación de riesgo A/B/C/D con manejo de errores controlado (HU-08)</w:t>
            </w:r>
          </w:p>
        </w:tc>
      </w:tr>
      <w:tr>
        <w:trPr>
          <w:tblHeader w:val="false"/>
        </w:trPr>
        <w:tc>
          <w:tcPr>
            <w:tcW w:type="pct" w:w="28%"/>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RBAC (Roles)</w:t>
            </w:r>
          </w:p>
        </w:tc>
        <w:tc>
          <w:tcPr>
            <w:tcW w:type="pct" w:w="7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Roles: Administrador, Analista, Jefe de Comité, Auditor — permisos por endpoint (HU-01)</w:t>
            </w:r>
          </w:p>
        </w:tc>
      </w:tr>
      <w:tr>
        <w:trPr>
          <w:tblHeader w:val="false"/>
        </w:trPr>
        <w:tc>
          <w:tcPr>
            <w:tcW w:type="pct" w:w="28%"/>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HATEOAS</w:t>
            </w:r>
          </w:p>
        </w:tc>
        <w:tc>
          <w:tcPr>
            <w:tcW w:type="pct" w:w="7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Respuestas de la API incluyen links de navegación para mayor descubribilidad</w:t>
            </w:r>
          </w:p>
        </w:tc>
      </w:tr>
    </w:tbl>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6. Flujo de Datos entre Módulos</w:t>
      </w:r>
    </w:p>
    <w:p>
      <w:pPr>
        <w:spacing w:after="60" w:before="60"/>
      </w:pPr>
      <w:r>
        <w:rPr>
          <w:rFonts w:ascii="Arial" w:cs="Arial" w:eastAsia="Arial" w:hAnsi="Arial"/>
          <w:b w:val="false"/>
          <w:bCs w:val="false"/>
          <w:i w:val="false"/>
          <w:iCs w:val="false"/>
          <w:color w:val="000000"/>
          <w:sz w:val="22"/>
          <w:szCs w:val="22"/>
        </w:rPr>
        <w:t xml:space="preserve">Al ser una arquitectura Monolítica Modular, los módulos se comunican mediante llamadas directas a funciones (imports), no mediante HTTP interno. Esto garantiza:</w:t>
      </w:r>
    </w:p>
    <w:p>
      <w:pPr>
        <w:pStyle w:val="ListParagraph"/>
        <w:numPr>
          <w:ilvl w:val="0"/>
          <w:numId w:val="1"/>
        </w:numPr>
        <w:spacing w:after="40" w:before="40"/>
        <w:ind w:left="450"/>
      </w:pPr>
      <w:r>
        <w:rPr>
          <w:rFonts w:ascii="Arial" w:cs="Arial" w:eastAsia="Arial" w:hAnsi="Arial"/>
          <w:sz w:val="21"/>
          <w:szCs w:val="21"/>
        </w:rPr>
        <w:t xml:space="preserve">Cero latencia de red entre módulos.</w:t>
      </w:r>
    </w:p>
    <w:p>
      <w:pPr>
        <w:pStyle w:val="ListParagraph"/>
        <w:numPr>
          <w:ilvl w:val="0"/>
          <w:numId w:val="1"/>
        </w:numPr>
        <w:spacing w:after="40" w:before="40"/>
        <w:ind w:left="450"/>
      </w:pPr>
      <w:r>
        <w:rPr>
          <w:rFonts w:ascii="Arial" w:cs="Arial" w:eastAsia="Arial" w:hAnsi="Arial"/>
          <w:sz w:val="21"/>
          <w:szCs w:val="21"/>
        </w:rPr>
        <w:t xml:space="preserve">Stack trace unificado — el debugging es simple y directo.</w:t>
      </w:r>
    </w:p>
    <w:p>
      <w:pPr>
        <w:pStyle w:val="ListParagraph"/>
        <w:numPr>
          <w:ilvl w:val="0"/>
          <w:numId w:val="1"/>
        </w:numPr>
        <w:spacing w:after="40" w:before="40"/>
        <w:ind w:left="450"/>
      </w:pPr>
      <w:r>
        <w:rPr>
          <w:rFonts w:ascii="Arial" w:cs="Arial" w:eastAsia="Arial" w:hAnsi="Arial"/>
          <w:sz w:val="21"/>
          <w:szCs w:val="21"/>
        </w:rPr>
        <w:t xml:space="preserve">Transacciones de base de datos compartidas cuando un flujo involucra múltiples módulos.</w:t>
      </w:r>
    </w:p>
    <w:p>
      <w:pPr>
        <w:spacing w:after="60" w:before="60"/>
      </w:pPr>
    </w:p>
    <w:p>
      <w:pPr>
        <w:spacing w:after="60" w:before="60"/>
      </w:pPr>
      <w:r>
        <w:rPr>
          <w:rFonts w:ascii="Arial" w:cs="Arial" w:eastAsia="Arial" w:hAnsi="Arial"/>
          <w:b w:val="false"/>
          <w:bCs w:val="false"/>
          <w:i w:val="false"/>
          <w:iCs w:val="false"/>
          <w:color w:val="000000"/>
          <w:sz w:val="22"/>
          <w:szCs w:val="22"/>
        </w:rPr>
        <w:t xml:space="preserve">Ejemplo — Flujo de aprobación de una solicitud (HU-03):</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1. solicitudes.controller  →  recibe POST /api/solicitudes/:id/aprobar</w:t>
            </w:r>
          </w:p>
          <w:p>
            <w:pPr>
              <w:spacing w:after="20" w:before="20"/>
            </w:pPr>
            <w:r>
              <w:rPr>
                <w:rFonts w:ascii="Courier New" w:cs="Courier New" w:eastAsia="Courier New" w:hAnsi="Courier New"/>
                <w:color w:val="D4D4D4"/>
                <w:sz w:val="18"/>
                <w:szCs w:val="18"/>
              </w:rPr>
              <w:t xml:space="preserve">2. solicitudes.service     →  valida estado actual y permisos del Jefe de Comité</w:t>
            </w:r>
          </w:p>
          <w:p>
            <w:pPr>
              <w:spacing w:after="20" w:before="20"/>
            </w:pPr>
            <w:r>
              <w:rPr>
                <w:rFonts w:ascii="Courier New" w:cs="Courier New" w:eastAsia="Courier New" w:hAnsi="Courier New"/>
                <w:color w:val="D4D4D4"/>
                <w:sz w:val="18"/>
                <w:szCs w:val="18"/>
              </w:rPr>
              <w:t xml:space="preserve">3. garantias.service       →  verifica garantías registradas (llamada interna)</w:t>
            </w:r>
          </w:p>
          <w:p>
            <w:pPr>
              <w:spacing w:after="20" w:before="20"/>
            </w:pPr>
            <w:r>
              <w:rPr>
                <w:rFonts w:ascii="Courier New" w:cs="Courier New" w:eastAsia="Courier New" w:hAnsi="Courier New"/>
                <w:color w:val="D4D4D4"/>
                <w:sz w:val="18"/>
                <w:szCs w:val="18"/>
              </w:rPr>
              <w:t xml:space="preserve">4. riesgo.service          →  consulta scoring crediticio del solicitante (llamada interna)</w:t>
            </w:r>
          </w:p>
          <w:p>
            <w:pPr>
              <w:spacing w:after="20" w:before="20"/>
            </w:pPr>
            <w:r>
              <w:rPr>
                <w:rFonts w:ascii="Courier New" w:cs="Courier New" w:eastAsia="Courier New" w:hAnsi="Courier New"/>
                <w:color w:val="D4D4D4"/>
                <w:sz w:val="18"/>
                <w:szCs w:val="18"/>
              </w:rPr>
              <w:t xml:space="preserve">5. solicitudes.repository  →  persiste resolución APROBADO en PostgreSQL</w:t>
            </w:r>
          </w:p>
          <w:p>
            <w:pPr>
              <w:spacing w:after="20" w:before="20"/>
            </w:pPr>
            <w:r>
              <w:rPr>
                <w:rFonts w:ascii="Courier New" w:cs="Courier New" w:eastAsia="Courier New" w:hAnsi="Courier New"/>
                <w:color w:val="D4D4D4"/>
                <w:sz w:val="18"/>
                <w:szCs w:val="18"/>
              </w:rPr>
              <w:t xml:space="preserve">6. auditoria.service       →  registra evento con SHA-256 encadenado (llamada interna)</w:t>
            </w:r>
          </w:p>
          <w:p>
            <w:pPr>
              <w:spacing w:after="20" w:before="20"/>
            </w:pPr>
            <w:r>
              <w:rPr>
                <w:rFonts w:ascii="Courier New" w:cs="Courier New" w:eastAsia="Courier New" w:hAnsi="Courier New"/>
                <w:color w:val="D4D4D4"/>
                <w:sz w:val="18"/>
                <w:szCs w:val="18"/>
              </w:rPr>
              <w:t xml:space="preserve">7. riesgo.service          →  dispara sincronización con CORE bancario (HU-09)</w:t>
            </w:r>
          </w:p>
          <w:p>
            <w:pPr>
              <w:spacing w:after="20" w:before="20"/>
            </w:pPr>
            <w:r>
              <w:rPr>
                <w:rFonts w:ascii="Courier New" w:cs="Courier New" w:eastAsia="Courier New" w:hAnsi="Courier New"/>
                <w:color w:val="D4D4D4"/>
                <w:sz w:val="18"/>
                <w:szCs w:val="18"/>
              </w:rPr>
              <w:t xml:space="preserve">8. Response HTTP 200       →  confirma aprobación al frontend</w:t>
            </w:r>
          </w:p>
        </w:tc>
      </w:tr>
    </w:tbl>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7. Patrones de Diseño Aplicados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Patrón</w:t>
            </w:r>
          </w:p>
        </w:tc>
        <w:tc>
          <w:tcPr>
            <w:tcW w:type="pct" w:w="52%"/>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Dónde se Aplica</w:t>
            </w:r>
          </w:p>
        </w:tc>
        <w:tc>
          <w:tcPr>
            <w:tcW w:type="pct" w:w="23%"/>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rPr>
          <w:tblHeader w:val="false"/>
        </w:trPr>
        <w:tc>
          <w:tcPr>
            <w:tcW w:type="pct" w:w="2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MVC (Model-View-Controller)</w:t>
            </w:r>
          </w:p>
        </w:tc>
        <w:tc>
          <w:tcPr>
            <w:tcW w:type="pct" w:w="5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Estructura base de cada módulo: route → controller → service → repository</w:t>
            </w:r>
          </w:p>
        </w:tc>
        <w:tc>
          <w:tcPr>
            <w:tcW w:type="pct" w:w="23%"/>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Repository Pattern</w:t>
            </w:r>
          </w:p>
        </w:tc>
        <w:tc>
          <w:tcPr>
            <w:tcW w:type="pct" w:w="5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Capa de acceso a datos aislada en *.repository.js — desacopla la lógica de negocio de PostgreSQL</w:t>
            </w:r>
          </w:p>
        </w:tc>
        <w:tc>
          <w:tcPr>
            <w:tcW w:type="pct" w:w="23%"/>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Layer</w:t>
            </w:r>
          </w:p>
        </w:tc>
        <w:tc>
          <w:tcPr>
            <w:tcW w:type="pct" w:w="5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Lógica de negocio centralizada en *.service.js — reutilizable desde cualquier controlador</w:t>
            </w:r>
          </w:p>
        </w:tc>
        <w:tc>
          <w:tcPr>
            <w:tcW w:type="pct" w:w="23%"/>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Middleware Chain</w:t>
            </w:r>
          </w:p>
        </w:tc>
        <w:tc>
          <w:tcPr>
            <w:tcW w:type="pct" w:w="5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Autenticación JWT, validación de roles y logging aplicados como middlewares Express</w:t>
            </w:r>
          </w:p>
        </w:tc>
        <w:tc>
          <w:tcPr>
            <w:tcW w:type="pct" w:w="23%"/>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WORM (Write Once Read Many)</w:t>
            </w:r>
          </w:p>
        </w:tc>
        <w:tc>
          <w:tcPr>
            <w:tcW w:type="pct" w:w="5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Tabla de auditoría sin permisos de UPDATE/DELETE — encadenamiento SHA-256</w:t>
            </w:r>
          </w:p>
        </w:tc>
        <w:tc>
          <w:tcPr>
            <w:tcW w:type="pct" w:w="23%"/>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Cron Job Pattern</w:t>
            </w:r>
          </w:p>
        </w:tc>
        <w:tc>
          <w:tcPr>
            <w:tcW w:type="pct" w:w="5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node-cron ejecuta verificación de vencimientos cada 60 segundos (HU-11)</w:t>
            </w:r>
          </w:p>
        </w:tc>
        <w:tc>
          <w:tcPr>
            <w:tcW w:type="pct" w:w="23%"/>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Offline-First (PWA)</w:t>
            </w:r>
          </w:p>
        </w:tc>
        <w:tc>
          <w:tcPr>
            <w:tcW w:type="pct" w:w="5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Service Worker + IndexedDB para trabajo de campo sin conexión (HU-10)</w:t>
            </w:r>
          </w:p>
        </w:tc>
        <w:tc>
          <w:tcPr>
            <w:tcW w:type="pct" w:w="23%"/>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Aplicado</w:t>
            </w:r>
          </w:p>
        </w:tc>
      </w:tr>
      <w:tr>
        <w:trPr>
          <w:tblHeader w:val="false"/>
        </w:trPr>
        <w:tc>
          <w:tcPr>
            <w:tcW w:type="pct" w:w="25%"/>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Hexagonal (Ports &amp; Adapters)</w:t>
            </w:r>
          </w:p>
        </w:tc>
        <w:tc>
          <w:tcPr>
            <w:tcW w:type="pct" w:w="52%"/>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Evaluado como alternativa — descartado por complejidad innecesaria para el plazo</w:t>
            </w:r>
          </w:p>
        </w:tc>
        <w:tc>
          <w:tcPr>
            <w:tcW w:type="pct" w:w="23%"/>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Descartado</w:t>
            </w:r>
          </w:p>
        </w:tc>
      </w:tr>
      <w:tr>
        <w:trPr>
          <w:tblHeader w:val="false"/>
        </w:trPr>
        <w:tc>
          <w:tcPr>
            <w:tcW w:type="pct" w:w="2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Microservicios</w:t>
            </w:r>
          </w:p>
        </w:tc>
        <w:tc>
          <w:tcPr>
            <w:tcW w:type="pct" w:w="52%"/>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Evaluado como alternativa — descartado por inviabilidad en 190 días con equipo de 6 personas</w:t>
            </w:r>
          </w:p>
        </w:tc>
        <w:tc>
          <w:tcPr>
            <w:tcW w:type="pct" w:w="23%"/>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Descartado</w:t>
            </w:r>
          </w:p>
        </w:tc>
      </w:tr>
    </w:tbl>
    <w:p>
      <w:pPr>
        <w:pBdr>
          <w:bottom w:val="single" w:color="2E74B5" w:sz="6"/>
        </w:pBdr>
        <w:spacing w:after="120" w:before="120"/>
      </w:pPr>
    </w:p>
    <w:p>
      <w:pPr>
        <w:pStyle w:val="Heading1"/>
        <w:spacing w:after="120" w:before="320"/>
      </w:pPr>
      <w:r>
        <w:rPr>
          <w:rFonts w:ascii="Arial" w:cs="Arial" w:eastAsia="Arial" w:hAnsi="Arial"/>
          <w:b/>
          <w:bCs/>
          <w:color w:val="1F3864"/>
          <w:sz w:val="32"/>
          <w:szCs w:val="32"/>
        </w:rPr>
        <w:t xml:space="preserve">8. Correcciones Arquitectónicas Realizadas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thick" w:color="B8860B" w:sz="12"/>
              <w:bottom w:val="none"/>
              <w:right w:val="none"/>
            </w:tcBorders>
            <w:shd w:fill="FFF3CD" w:val="clear"/>
            <w:tcMar>
              <w:top w:type="dxa" w:w="120"/>
              <w:left w:type="dxa" w:w="180"/>
              <w:bottom w:type="dxa" w:w="120"/>
              <w:right w:type="dxa" w:w="180"/>
            </w:tcMar>
          </w:tcPr>
          <w:p>
            <w:r>
              <w:rPr>
                <w:rFonts w:ascii="Arial" w:cs="Arial" w:eastAsia="Arial" w:hAnsi="Arial"/>
                <w:b/>
                <w:bCs/>
                <w:color w:val="B8860B"/>
                <w:sz w:val="22"/>
                <w:szCs w:val="22"/>
              </w:rPr>
              <w:t xml:space="preserve">Corrección Principal — Beymar Castillo Córdova (P2)</w:t>
            </w:r>
          </w:p>
          <w:p>
            <w:pPr>
              <w:spacing w:before="60"/>
            </w:pPr>
            <w:r>
              <w:rPr>
                <w:rFonts w:ascii="Arial" w:cs="Arial" w:eastAsia="Arial" w:hAnsi="Arial"/>
                <w:sz w:val="20"/>
                <w:szCs w:val="20"/>
              </w:rPr>
              <w:t xml:space="preserve">Se identificó que documentos del equipo referenciaban "Arquitectura Hexagonal" como patrón del sistema. Tras la revisión técnica, se determinó que el patrón correcto adoptado por el equipo es "Monolítica Modular". Se actualizaron todos los documentos del proyecto (gen_bdp.js, gen_tarea_beymar_v2.js, documento final, historias de usuario y arquitectura) para reflejar correctamente esta decisión.</w:t>
            </w:r>
          </w:p>
        </w:tc>
      </w:tr>
    </w:tbl>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Documento Afectado</w:t>
            </w:r>
          </w:p>
        </w:tc>
        <w:tc>
          <w:tcPr>
            <w:tcW w:type="pct" w:w="45%"/>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Corrección Aplicada</w:t>
            </w:r>
          </w:p>
        </w:tc>
        <w:tc>
          <w:tcPr>
            <w:tcW w:type="pct" w:w="20%"/>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rPr>
          <w:tblHeader w:val="false"/>
        </w:trPr>
        <w:tc>
          <w:tcPr>
            <w:tcW w:type="pct" w:w="3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gen_bdp.js (skill docx)</w:t>
            </w:r>
          </w:p>
        </w:tc>
        <w:tc>
          <w:tcPr>
            <w:tcW w:type="pct" w:w="45%"/>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Patrón: "Hexagonal" → "Monolítica Modular" en tabla de patrones y sección de carpetas</w:t>
            </w:r>
          </w:p>
        </w:tc>
        <w:tc>
          <w:tcPr>
            <w:tcW w:type="pct" w:w="20%"/>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Corregido ✅</w:t>
            </w:r>
          </w:p>
        </w:tc>
      </w:tr>
      <w:tr>
        <w:trPr>
          <w:tblHeader w:val="false"/>
        </w:trPr>
        <w:tc>
          <w:tcPr>
            <w:tcW w:type="pct" w:w="35%"/>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gen_tarea_beymar_v2.js</w:t>
            </w:r>
          </w:p>
        </w:tc>
        <w:tc>
          <w:tcPr>
            <w:tcW w:type="pct" w:w="45%"/>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Estructura de carpetas cambiada de api/core/database/ a modules/auth/solicitudes/…</w:t>
            </w:r>
          </w:p>
        </w:tc>
        <w:tc>
          <w:tcPr>
            <w:tcW w:type="pct" w:w="20%"/>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Corregido ✅</w:t>
            </w:r>
          </w:p>
        </w:tc>
      </w:tr>
      <w:tr>
        <w:trPr>
          <w:tblHeader w:val="false"/>
        </w:trPr>
        <w:tc>
          <w:tcPr>
            <w:tcW w:type="pct" w:w="3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gen_doc_final_ingsw.js</w:t>
            </w:r>
          </w:p>
        </w:tc>
        <w:tc>
          <w:tcPr>
            <w:tcW w:type="pct" w:w="45%"/>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Tabla comparativa con Hexagonal como "Descartado" y Monolítica como elegida</w:t>
            </w:r>
          </w:p>
        </w:tc>
        <w:tc>
          <w:tcPr>
            <w:tcW w:type="pct" w:w="20%"/>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Corregido ✅</w:t>
            </w:r>
          </w:p>
        </w:tc>
      </w:tr>
      <w:tr>
        <w:trPr>
          <w:tblHeader w:val="false"/>
        </w:trPr>
        <w:tc>
          <w:tcPr>
            <w:tcW w:type="pct" w:w="35%"/>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Documento Final BDP (2).docx</w:t>
            </w:r>
          </w:p>
        </w:tc>
        <w:tc>
          <w:tcPr>
            <w:tcW w:type="pct" w:w="45%"/>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Arquitectura, carpetas y justificación actualizadas</w:t>
            </w:r>
          </w:p>
        </w:tc>
        <w:tc>
          <w:tcPr>
            <w:tcW w:type="pct" w:w="20%"/>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Corregido ✅</w:t>
            </w:r>
          </w:p>
        </w:tc>
      </w:tr>
      <w:tr>
        <w:trPr>
          <w:tblHeader w:val="false"/>
        </w:trPr>
        <w:tc>
          <w:tcPr>
            <w:tcW w:type="pct" w:w="35%"/>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DOCUMENTO-PRINCIPAL.md</w:t>
            </w:r>
          </w:p>
        </w:tc>
        <w:tc>
          <w:tcPr>
            <w:tcW w:type="pct" w:w="45%"/>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Stack técnico y arquitectura alineados a Monolítica Modular</w:t>
            </w:r>
          </w:p>
        </w:tc>
        <w:tc>
          <w:tcPr>
            <w:tcW w:type="pct" w:w="20%"/>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Corregido ✅</w:t>
            </w:r>
          </w:p>
        </w:tc>
      </w:tr>
    </w:tbl>
    <w:p>
      <w:pPr>
        <w:pBdr>
          <w:bottom w:val="single" w:color="2E74B5" w:sz="6"/>
        </w:pBdr>
        <w:spacing w:after="120" w:before="120"/>
      </w:pPr>
    </w:p>
    <w:p>
      <w:pPr>
        <w:spacing w:after="60" w:before="60"/>
      </w:pPr>
    </w:p>
    <w:p>
      <w:pPr>
        <w:spacing w:after="60" w:before="200"/>
        <w:jc w:val="center"/>
      </w:pPr>
      <w:r>
        <w:rPr>
          <w:rFonts w:ascii="Arial" w:cs="Arial" w:eastAsia="Arial" w:hAnsi="Arial"/>
          <w:b/>
          <w:bCs/>
          <w:color w:val="1F3864"/>
          <w:sz w:val="20"/>
          <w:szCs w:val="20"/>
        </w:rPr>
        <w:t xml:space="preserve">Documento de Arquitectura del Sistema — BDP S.A.M.</w:t>
      </w:r>
    </w:p>
    <w:p>
      <w:pPr>
        <w:jc w:val="center"/>
      </w:pPr>
      <w:r>
        <w:rPr>
          <w:rFonts w:ascii="Arial" w:cs="Arial" w:eastAsia="Arial" w:hAnsi="Arial"/>
          <w:i/>
          <w:iCs/>
          <w:color w:val="888888"/>
          <w:sz w:val="18"/>
          <w:szCs w:val="18"/>
        </w:rPr>
        <w:t xml:space="preserve">Beymar Castillo Córdova · P2 Beymar+Abigail · Ingeniería de Software · UAB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2026-04-28T21:17:48.891Z</dcterms:created>
  <dcterms:modified xsi:type="dcterms:W3CDTF">2026-04-28T21:17:48.893Z</dcterms:modified>
</cp:coreProperties>
</file>

<file path=docProps/custom.xml><?xml version="1.0" encoding="utf-8"?>
<Properties xmlns="http://schemas.openxmlformats.org/officeDocument/2006/custom-properties" xmlns:vt="http://schemas.openxmlformats.org/officeDocument/2006/docPropsVTypes"/>
</file>