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E858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0"/>
        </w:rPr>
        <w:t>定制开发合同</w:t>
      </w:r>
    </w:p>
    <w:p w14:paraId="5567EB20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项目名称：分镜脚本生成系统定制开发</w:t>
      </w:r>
    </w:p>
    <w:p w14:paraId="3507DD9B">
      <w:pPr>
        <w:rPr>
          <w:rFonts w:hint="eastAsia" w:ascii="微软雅黑" w:hAnsi="微软雅黑" w:eastAsia="微软雅黑" w:cs="微软雅黑"/>
        </w:rPr>
      </w:pPr>
    </w:p>
    <w:p w14:paraId="1F9E8A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甲方：____________________________</w:t>
      </w:r>
    </w:p>
    <w:p w14:paraId="083741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乙方：____________________________</w:t>
      </w:r>
      <w:bookmarkStart w:id="0" w:name="_GoBack"/>
      <w:bookmarkEnd w:id="0"/>
    </w:p>
    <w:p w14:paraId="311451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签订日期：________________________</w:t>
      </w:r>
    </w:p>
    <w:p w14:paraId="3E91E4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签订地点：________________________</w:t>
      </w:r>
    </w:p>
    <w:p w14:paraId="47C02E8F">
      <w:pPr>
        <w:rPr>
          <w:rFonts w:hint="eastAsia" w:ascii="微软雅黑" w:hAnsi="微软雅黑" w:eastAsia="微软雅黑" w:cs="微软雅黑"/>
        </w:rPr>
      </w:pPr>
    </w:p>
    <w:p w14:paraId="7358B6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鉴于甲方有分镜脚本生成系统的定制开发需求，乙方具备相关软件开发与交付能力，双方依据平等、自愿、诚实信用原则，就本项目定制开发事宜达成如下合同条款。</w:t>
      </w:r>
    </w:p>
    <w:p w14:paraId="5146F19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第一条 项目名称与目标</w:t>
      </w:r>
    </w:p>
    <w:p w14:paraId="524B0B2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项目名称：分镜脚本生成系统定制开发项目。</w:t>
      </w:r>
    </w:p>
    <w:p w14:paraId="4140575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项目目标：将分镜脚本生成能力建设为可由甲方业务团队实际使用的软件模块，支持需求采集、脚本生成、版本输出及 Word 导出。</w:t>
      </w:r>
    </w:p>
    <w:p w14:paraId="62A2CFD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第二条 开发内容</w:t>
      </w:r>
    </w:p>
    <w:p w14:paraId="5C26D84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项目管理：创建、编辑、归档项目。</w:t>
      </w:r>
    </w:p>
    <w:p w14:paraId="7708D4E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需求采集：录入内容单元、项目定位、视频要求、参考样片、品牌资产。</w:t>
      </w:r>
    </w:p>
    <w:p w14:paraId="3ADF71A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脚本生成：生成创作前提、创意主轴、总旁白、段落文案、分镜脚本表。</w:t>
      </w:r>
    </w:p>
    <w:p w14:paraId="195BA74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执行建议：生成实拍/AIGC/混合建议及交付分工建议。</w:t>
      </w:r>
    </w:p>
    <w:p w14:paraId="2029782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文档输出：导出完整版与提案版 Word 文档。</w:t>
      </w:r>
    </w:p>
    <w:p w14:paraId="23A1629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第三条 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ACB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shd w:val="clear" w:color="auto" w:fill="D9EAF7"/>
          </w:tcPr>
          <w:p w14:paraId="5A9190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序号</w:t>
            </w:r>
          </w:p>
        </w:tc>
        <w:tc>
          <w:tcPr>
            <w:tcW w:w="2911" w:type="dxa"/>
            <w:shd w:val="clear" w:color="auto" w:fill="D9EAF7"/>
          </w:tcPr>
          <w:p w14:paraId="53081C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交付物</w:t>
            </w:r>
          </w:p>
        </w:tc>
        <w:tc>
          <w:tcPr>
            <w:tcW w:w="2911" w:type="dxa"/>
            <w:shd w:val="clear" w:color="auto" w:fill="D9EAF7"/>
          </w:tcPr>
          <w:p w14:paraId="6486B9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</w:t>
            </w:r>
          </w:p>
        </w:tc>
      </w:tr>
      <w:tr w14:paraId="2097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A34BD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</w:t>
            </w:r>
          </w:p>
        </w:tc>
        <w:tc>
          <w:tcPr>
            <w:tcW w:w="2911" w:type="dxa"/>
          </w:tcPr>
          <w:p w14:paraId="7D0074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软件系统/功能模块</w:t>
            </w:r>
          </w:p>
        </w:tc>
        <w:tc>
          <w:tcPr>
            <w:tcW w:w="2911" w:type="dxa"/>
          </w:tcPr>
          <w:p w14:paraId="49DF12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按双方确认需求完成开发并交付可运行版本</w:t>
            </w:r>
          </w:p>
        </w:tc>
      </w:tr>
      <w:tr w14:paraId="6567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BFAA0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</w:t>
            </w:r>
          </w:p>
        </w:tc>
        <w:tc>
          <w:tcPr>
            <w:tcW w:w="2911" w:type="dxa"/>
          </w:tcPr>
          <w:p w14:paraId="55BCDB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部署说明文档</w:t>
            </w:r>
          </w:p>
        </w:tc>
        <w:tc>
          <w:tcPr>
            <w:tcW w:w="2911" w:type="dxa"/>
          </w:tcPr>
          <w:p w14:paraId="3AEDD9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含安装、配置、使用说明</w:t>
            </w:r>
          </w:p>
        </w:tc>
      </w:tr>
      <w:tr w14:paraId="5AC3D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55BCA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</w:t>
            </w:r>
          </w:p>
        </w:tc>
        <w:tc>
          <w:tcPr>
            <w:tcW w:w="2911" w:type="dxa"/>
          </w:tcPr>
          <w:p w14:paraId="2B2BD0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Word 模板</w:t>
            </w:r>
          </w:p>
        </w:tc>
        <w:tc>
          <w:tcPr>
            <w:tcW w:w="2911" w:type="dxa"/>
          </w:tcPr>
          <w:p w14:paraId="47A326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至少含完整版、提案版两套模板</w:t>
            </w:r>
          </w:p>
        </w:tc>
      </w:tr>
      <w:tr w14:paraId="1CDB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EAFA1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4</w:t>
            </w:r>
          </w:p>
        </w:tc>
        <w:tc>
          <w:tcPr>
            <w:tcW w:w="2911" w:type="dxa"/>
          </w:tcPr>
          <w:p w14:paraId="24420F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测试与验收材料</w:t>
            </w:r>
          </w:p>
        </w:tc>
        <w:tc>
          <w:tcPr>
            <w:tcW w:w="2911" w:type="dxa"/>
          </w:tcPr>
          <w:p w14:paraId="7486F3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包括测试记录、验收说明</w:t>
            </w:r>
          </w:p>
        </w:tc>
      </w:tr>
    </w:tbl>
    <w:p w14:paraId="746D8CED">
      <w:pPr>
        <w:rPr>
          <w:rFonts w:hint="eastAsia" w:ascii="微软雅黑" w:hAnsi="微软雅黑" w:eastAsia="微软雅黑" w:cs="微软雅黑"/>
        </w:rPr>
      </w:pPr>
    </w:p>
    <w:p w14:paraId="6181C18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第四条 项目周期</w:t>
      </w:r>
    </w:p>
    <w:p w14:paraId="7BD71EF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项目预计总周期：____ 个自然日/工作日，自合同生效且首付款到账之日起计算。</w:t>
      </w:r>
    </w:p>
    <w:p w14:paraId="7F7904A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需求确认、开发、测试、验收等阶段排期，以双方确认的项目计划为准。</w:t>
      </w:r>
    </w:p>
    <w:p w14:paraId="05E277C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因甲方延迟反馈、延迟提供资料或新增需求导致延期的，交付时间顺延。</w:t>
      </w:r>
    </w:p>
    <w:p w14:paraId="32ED090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第五条 合同金额与付款方式</w:t>
      </w:r>
    </w:p>
    <w:p w14:paraId="7BA69B7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合同总金额：人民币（大写）________________，小写 ￥__________ 元。</w:t>
      </w:r>
    </w:p>
    <w:p w14:paraId="6980D8C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付款建议：签约首付款 40%，中期确认款 40%，最终验收款 20%。</w:t>
      </w:r>
    </w:p>
    <w:p w14:paraId="0FFC6C3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乙方在收到对应款项后开具合规票据，具体税率及票种由双方另行确认。</w:t>
      </w:r>
    </w:p>
    <w:p w14:paraId="0B4AF10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第六条 需求变更</w:t>
      </w:r>
    </w:p>
    <w:p w14:paraId="4719D09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合同签订后，如甲方提出新增功能、范围扩大、接口调整、模板新增等需求，双方应书面确认。</w:t>
      </w:r>
    </w:p>
    <w:p w14:paraId="6385EAE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涉及工作量增加、周期变化或费用增加的，应签署补充协议或变更确认单后执行。</w:t>
      </w:r>
    </w:p>
    <w:p w14:paraId="0DED896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第七条 双方权利义务</w:t>
      </w:r>
    </w:p>
    <w:p w14:paraId="34F9A75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甲方义务</w:t>
      </w:r>
    </w:p>
    <w:p w14:paraId="7F81D7C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按时提供项目所需资料、品牌规范、业务流程及验收反馈。</w:t>
      </w:r>
    </w:p>
    <w:p w14:paraId="450B291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按合同约定及时支付相关费用。</w:t>
      </w:r>
    </w:p>
    <w:p w14:paraId="4C853AD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指定对接人统一反馈需求与确认意见。</w:t>
      </w:r>
    </w:p>
    <w:p w14:paraId="570F795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乙方义务</w:t>
      </w:r>
    </w:p>
    <w:p w14:paraId="1E7FC7B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按双方确认的需求范围完成系统开发与交付。</w:t>
      </w:r>
    </w:p>
    <w:p w14:paraId="465AC64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按约定节点提供演示、测试版本及正式交付物。</w:t>
      </w:r>
    </w:p>
    <w:p w14:paraId="13C69FB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对甲方提供的资料承担保密义务。</w:t>
      </w:r>
    </w:p>
    <w:p w14:paraId="5FAE727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第八条 验收方式</w:t>
      </w:r>
    </w:p>
    <w:p w14:paraId="56DB042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乙方提交可验收版本后，甲方应在 ____ 个工作日内组织验收并反馈结果。</w:t>
      </w:r>
    </w:p>
    <w:p w14:paraId="1ABBC81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如甲方未在约定期限内提出书面异议，则视为阶段性交付内容已确认。</w:t>
      </w:r>
    </w:p>
    <w:p w14:paraId="3640505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验收标准以双方确认的 PRD、需求清单及本合同约定交付范围为准。</w:t>
      </w:r>
    </w:p>
    <w:p w14:paraId="6B340C6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第九条 知识产权</w:t>
      </w:r>
    </w:p>
    <w:p w14:paraId="7831142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甲方已支付全部合同款项后，本项目定制开发成果的使用权/约定范围内知识产权归属以双方补充约定为准。</w:t>
      </w:r>
    </w:p>
    <w:p w14:paraId="102A8A9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乙方在项目中使用的通用开发框架、底层通用组件、既有方法论及预先存在的工具能力，不因本合同而当然转让。</w:t>
      </w:r>
    </w:p>
    <w:p w14:paraId="32AF515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若甲方需要源码交付、独占授权或买断，应在合同中单独约定并计入费用。</w:t>
      </w:r>
    </w:p>
    <w:p w14:paraId="61A6008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第十条 保密条款</w:t>
      </w:r>
    </w:p>
    <w:p w14:paraId="1977B61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双方对在合作过程中获知的商业秘密、技术资料、客户资料负有保密义务。</w:t>
      </w:r>
    </w:p>
    <w:p w14:paraId="4ED4A19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未经对方书面许可，任何一方不得向第三方披露、转让或用于本项目以外用途。</w:t>
      </w:r>
    </w:p>
    <w:p w14:paraId="31B521D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第十一条 售后与维护</w:t>
      </w:r>
    </w:p>
    <w:p w14:paraId="604476E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乙方提供自最终验收之日起 ____ 个月的基础质保服务。</w:t>
      </w:r>
    </w:p>
    <w:p w14:paraId="2890D71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质保范围包括合同约定功能内的缺陷修复，不包含新增需求与第三方环境变更导致的问题。</w:t>
      </w:r>
    </w:p>
    <w:p w14:paraId="022E02D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质保期后如需继续维护，双方可另签维护协议。</w:t>
      </w:r>
    </w:p>
    <w:p w14:paraId="121C400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第十二条 违约责任</w:t>
      </w:r>
    </w:p>
    <w:p w14:paraId="2E11495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任一方违反合同约定，给对方造成损失的，应承担相应赔偿责任。</w:t>
      </w:r>
    </w:p>
    <w:p w14:paraId="53283C5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甲方无正当理由逾期付款的，乙方有权暂停项目执行并顺延交付周期。</w:t>
      </w:r>
    </w:p>
    <w:p w14:paraId="3FFCF9B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乙方无正当理由严重延误交付的，应与甲方协商补救方案并承担相应违约责任。</w:t>
      </w:r>
    </w:p>
    <w:p w14:paraId="57B3B0A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第十三条 不可抗力</w:t>
      </w:r>
    </w:p>
    <w:p w14:paraId="226606D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因不可抗力导致合同无法履行或延期履行的，受影响一方应及时通知对方，并在合理期限内提供相关证明。</w:t>
      </w:r>
    </w:p>
    <w:p w14:paraId="2A9289C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第十四条 争议解决</w:t>
      </w:r>
    </w:p>
    <w:p w14:paraId="019CB24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双方因本合同发生争议，应先友好协商解决；协商不成的，提交合同签订地有管辖权的人民法院处理，或按双方另行约定的仲裁方式解决。</w:t>
      </w:r>
    </w:p>
    <w:p w14:paraId="4FFBAD1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第十五条 其他</w:t>
      </w:r>
    </w:p>
    <w:p w14:paraId="7AE5689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本合同未尽事宜，由双方另行签署补充协议；补充协议与本合同具有同等法律效力。</w:t>
      </w:r>
    </w:p>
    <w:p w14:paraId="10AD16C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本合同自双方签字盖章之日起生效。</w:t>
      </w:r>
    </w:p>
    <w:p w14:paraId="33495EB0">
      <w:pPr>
        <w:rPr>
          <w:rFonts w:hint="eastAsia" w:ascii="微软雅黑" w:hAnsi="微软雅黑" w:eastAsia="微软雅黑" w:cs="微软雅黑"/>
        </w:rPr>
      </w:pPr>
    </w:p>
    <w:p w14:paraId="7362E5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甲方（盖章）：________________________</w:t>
      </w:r>
    </w:p>
    <w:p w14:paraId="10A782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授权代表：____________________________</w:t>
      </w:r>
    </w:p>
    <w:p w14:paraId="5AFB26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日期：________________________________</w:t>
      </w:r>
    </w:p>
    <w:p w14:paraId="3403B75D">
      <w:pPr>
        <w:rPr>
          <w:rFonts w:hint="eastAsia" w:ascii="微软雅黑" w:hAnsi="微软雅黑" w:eastAsia="微软雅黑" w:cs="微软雅黑"/>
        </w:rPr>
      </w:pPr>
    </w:p>
    <w:p w14:paraId="5520C9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乙方（盖章）：________________________</w:t>
      </w:r>
    </w:p>
    <w:p w14:paraId="6656E0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授权代表：____________________________</w:t>
      </w:r>
    </w:p>
    <w:p w14:paraId="4640FB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日期：________________________________</w:t>
      </w:r>
    </w:p>
    <w:sectPr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402B66"/>
    <w:rsid w:val="6736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1566</Words>
  <Characters>1887</Characters>
  <Lines>0</Lines>
  <Paragraphs>0</Paragraphs>
  <TotalTime>0</TotalTime>
  <ScaleCrop>false</ScaleCrop>
  <LinksUpToDate>false</LinksUpToDate>
  <CharactersWithSpaces>1920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郑中琦</cp:lastModifiedBy>
  <dcterms:modified xsi:type="dcterms:W3CDTF">2026-04-15T10:23:31Z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eyJoZGlkIjoiN2U4N2M3OGIyZjg5NzU1NTAxZDE5YTc4ZjA5OGM2MzciLCJ1c2VySWQiOiI3NTc5OTg2NzUifQ==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ADE33D9A2D044E2C890AEB02DEDDB8AE_13</vt:lpwstr>
  </property>
</Properties>
</file>