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LingoTrace 学习闭环与动态 HUD 总纲</w:t>
      </w:r>
    </w:p>
    <w:p>
      <w:pPr>
        <w:pStyle w:val="Subtitle"/>
      </w:pPr>
      <w:r>
        <w:rPr>
          <w:b w:val="0"/>
        </w:rPr>
        <w:t>2026 年 10 月 8 日  第一版修订三</w:t>
      </w:r>
    </w:p>
    <w:p>
      <w:pPr>
        <w:pStyle w:val="Heading2"/>
      </w:pPr>
      <w:r>
        <w:t>目标</w:t>
      </w:r>
    </w:p>
    <w:p>
      <w:r>
        <w:rPr>
          <w:b w:val="0"/>
        </w:rPr>
        <w:t>以 06 v22 静态签收为基线，打通同素材练习、语境收藏、复习与真实历史。F01–F10 全部保留，F11–F13 为新增需求；建议分批验证，执行次序另行确认。</w:t>
      </w:r>
    </w:p>
    <w:p>
      <w:pPr>
        <w:pStyle w:val="Heading2"/>
      </w:pPr>
      <w:r>
        <w:t>功能清单</w:t>
      </w:r>
    </w:p>
    <w:p>
      <w:pPr>
        <w:spacing w:after="100"/>
        <w:ind w:left="0"/>
      </w:pPr>
      <w:r>
        <w:rPr>
          <w:b w:val="0"/>
        </w:rPr>
        <w:t>•  F01 真实数据：统一本站练习事件、统计口径与成果账本，不造历史或学习能力。</w:t>
      </w:r>
    </w:p>
    <w:p>
      <w:pPr>
        <w:spacing w:after="100"/>
        <w:ind w:left="0"/>
      </w:pPr>
      <w:r>
        <w:rPr>
          <w:b w:val="0"/>
        </w:rPr>
        <w:t>•  F02 状态动效：轻呼吸、真实输入响应、加载与进退场；趋势线后续增量。</w:t>
      </w:r>
    </w:p>
    <w:p>
      <w:pPr>
        <w:spacing w:after="100"/>
        <w:ind w:left="0"/>
      </w:pPr>
      <w:r>
        <w:rPr>
          <w:b w:val="0"/>
        </w:rPr>
        <w:t>•  F03 克制声音：少量可选提示音与白噪音，独立开关、音量和入片选择。</w:t>
      </w:r>
    </w:p>
    <w:p>
      <w:pPr>
        <w:spacing w:after="100"/>
        <w:ind w:left="0"/>
      </w:pPr>
      <w:r>
        <w:rPr>
          <w:b w:val="0"/>
        </w:rPr>
        <w:t>•  F04 全 HUD 配置：位置、大小、颜色、圆角、阴影和动效统一 JSON；手调与 AI 都尊重锁定。</w:t>
      </w:r>
    </w:p>
    <w:p>
      <w:pPr>
        <w:spacing w:after="100"/>
        <w:ind w:left="0"/>
      </w:pPr>
      <w:r>
        <w:rPr>
          <w:b w:val="0"/>
        </w:rPr>
        <w:t>•  F05 一致录制：共用场景与明确分开的时钟，实时成片和工程重渲染分别定义。</w:t>
      </w:r>
    </w:p>
    <w:p>
      <w:pPr>
        <w:spacing w:after="100"/>
        <w:ind w:left="0"/>
      </w:pPr>
      <w:r>
        <w:rPr>
          <w:b w:val="0"/>
        </w:rPr>
        <w:t>•  F06 分层验收：先验证 06，再验证最小日历与卡片，后续扩展十套皮肤。</w:t>
      </w:r>
    </w:p>
    <w:p>
      <w:pPr>
        <w:spacing w:after="100"/>
        <w:ind w:left="0"/>
      </w:pPr>
      <w:r>
        <w:rPr>
          <w:b w:val="0"/>
        </w:rPr>
        <w:t>•  F07 视频配色：首个有效帧定色，播放中轻缓随色；视频变化不改变布局。</w:t>
      </w:r>
    </w:p>
    <w:p>
      <w:pPr>
        <w:spacing w:after="100"/>
        <w:ind w:left="0"/>
      </w:pPr>
      <w:r>
        <w:rPr>
          <w:b w:val="0"/>
        </w:rPr>
        <w:t>•  F08 学习档案：本站真实记录生成日历热力图与组件看板，标明范围、时区和缺失状态。</w:t>
      </w:r>
    </w:p>
    <w:p>
      <w:pPr>
        <w:spacing w:after="100"/>
        <w:ind w:left="0"/>
      </w:pPr>
      <w:r>
        <w:rPr>
          <w:b w:val="0"/>
        </w:rPr>
        <w:t>•  F09 可选分享：练习后备好私有卡片；已有录屏可选片段，预览后主动导出或分享。</w:t>
      </w:r>
    </w:p>
    <w:p>
      <w:pPr>
        <w:spacing w:after="100"/>
        <w:ind w:left="0"/>
      </w:pPr>
      <w:r>
        <w:rPr>
          <w:b w:val="0"/>
        </w:rPr>
        <w:t>•  F10 激励档位：活跃、标准、专注只改反馈展示与声画，统计、资格和成就账本一致。</w:t>
      </w:r>
    </w:p>
    <w:p>
      <w:pPr>
        <w:spacing w:after="100"/>
        <w:ind w:left="0"/>
      </w:pPr>
      <w:r>
        <w:rPr>
          <w:b w:val="0"/>
        </w:rPr>
        <w:t>•  F11 统一素材：素材、字幕与句子共用稳定标识；支持合并、拆分、改文和时间校正，旧练习固定原参考版本。</w:t>
      </w:r>
    </w:p>
    <w:p>
      <w:pPr>
        <w:spacing w:after="100"/>
        <w:ind w:left="0"/>
      </w:pPr>
      <w:r>
        <w:rPr>
          <w:b w:val="0"/>
        </w:rPr>
        <w:t>•  F12 练习证据：同素材切换模式，复用已有事件生成尝试记录；保留条件、首答与修订，重新评分另存。</w:t>
      </w:r>
    </w:p>
    <w:p>
      <w:pPr>
        <w:spacing w:after="100"/>
        <w:ind w:left="0"/>
      </w:pPr>
      <w:r>
        <w:rPr>
          <w:b w:val="0"/>
        </w:rPr>
        <w:t>•  F13 语境与复习：收藏词句可回原片段，生成可解释复习任务，以实际复测更新记录；先验证一素材两三句。</w:t>
      </w:r>
    </w:p>
    <w:p>
      <w:pPr>
        <w:pStyle w:val="Heading2"/>
      </w:pPr>
      <w:r>
        <w:t>验收</w:t>
      </w:r>
    </w:p>
    <w:p>
      <w:pPr>
        <w:spacing w:after="100"/>
        <w:ind w:left="0"/>
      </w:pPr>
      <w:r>
        <w:rPr>
          <w:b w:val="0"/>
        </w:rPr>
        <w:t>•  每项数据可追溯；停打不扣累计，重复事件不重复入账，切档不重奖。</w:t>
      </w:r>
    </w:p>
    <w:p>
      <w:pPr>
        <w:spacing w:after="100"/>
        <w:ind w:left="0"/>
      </w:pPr>
      <w:r>
        <w:rPr>
          <w:b w:val="0"/>
        </w:rPr>
        <w:t>•  仅统计本站。练习记录、可选使用统计与分享许可分开，关闭后不隐瞒采集。</w:t>
      </w:r>
    </w:p>
    <w:p>
      <w:pPr>
        <w:spacing w:after="100"/>
        <w:ind w:left="0"/>
      </w:pPr>
      <w:r>
        <w:rPr>
          <w:b w:val="0"/>
        </w:rPr>
        <w:t>•  首访和首次练习只说明当前记录覆盖范围；未知不填零，学习量不等于掌握。</w:t>
      </w:r>
    </w:p>
    <w:p>
      <w:pPr>
        <w:spacing w:after="100"/>
        <w:ind w:left="0"/>
      </w:pPr>
      <w:r>
        <w:rPr>
          <w:b w:val="0"/>
        </w:rPr>
        <w:t>•  取色可降级，手动锁定与可读性优先；AI 改布局须主动选择，修改可预览撤销。</w:t>
      </w:r>
    </w:p>
    <w:p>
      <w:pPr>
        <w:spacing w:after="100"/>
        <w:ind w:left="0"/>
      </w:pPr>
      <w:r>
        <w:rPr>
          <w:b w:val="0"/>
        </w:rPr>
        <w:t>•  分享草稿不自动公开；减少动态与静音优先。新看板不塞入首批 HUD，徽章墙后置。</w:t>
      </w:r>
    </w:p>
    <w:p>
      <w:pPr>
        <w:spacing w:after="100"/>
        <w:ind w:left="0"/>
      </w:pPr>
      <w:r>
        <w:rPr>
          <w:b w:val="0"/>
        </w:rPr>
        <w:t>•  一素材两三句可完成听写、录音对比、语境收藏、复习与历史查看；未评估不作失败。</w:t>
      </w:r>
    </w:p>
    <w:p>
      <w:pPr>
        <w:spacing w:after="100"/>
        <w:ind w:left="0"/>
      </w:pPr>
      <w:r>
        <w:rPr>
          <w:b w:val="0"/>
        </w:rPr>
        <w:t>•  本文件是需求修订，未批准代码实施或全部优先级；v1.2 与静态 v22 保留。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>本 PRD v1.3 保留 v1.2 的 F01–F10，新增 F11–F13 学习流程与数据合同。两版内容均为需求方案，不代表已实现或全部已批准；只有 static06 v22 静态基线已签收。本轮修订文档，不改代码，也不替用户重排实施任务。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先评审素材版本、练习证据与最小闭环，再确认动效、配置和档案的批次安排。参数与执行顺序都是建议，尚待确认。新日历仍放个人中心或总结，不挤入首批 HUD；AI、复杂语法与完整成就墙后置。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当前汇总若采用更正结果，按同一 attempt 的选定结果替换派生贡献，不把两份结果相加。修订、导入、重评不产生新练习次数或新 XP；成就纠错依既定规则处理。记录保留仍服从用户的数据设置和删除选择。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投影，不再维护第二套事实表。已有模式、题目版本、提示、播放速度、重播和提交事件继续作为依据；补齐条件快照与记录关联。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模式：跟打、听写、听后跟读、同步跟读、精读／改写、复习；首批只验证听写与录音对比。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记录首答前全部字幕暴露、倍速、提示、翻译与重听；看过再隐藏仍算已暴露，首答后帮助另记。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实际录音引用、所属尝试与原声片段；拒绝、取消、静音或无可用录音不算口语完成或口语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独立／辅助状态由首答前完整暴露历史决定，首答后帮助不回改首答证据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隐藏听写允许原声播放，但 DOM、Canvas、分享预览和无障碍文本均不得泄题。实时输入反馈只含节奏与已输入长度，不显匹配正误、准确率或正确性奖励；不按正误卡住输入或自动过关。明确提交／检查或揭示后才判定和显示，记录边界；揭示本身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首版可用明示到期规则，具体间隔待定。任务保存稳定 reviewTaskId、来源 attempt、复习对象、参考版本和 dueAt；刷新或重复创建不复制待办。到期、通知和开任务不算学习；实际复测才追加事件及新 attempt，关联任务与 reviewInstance，并据结果更新安排。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参考项目与后置能力</w:t>
      </w:r>
    </w:p>
    <w:p>
      <w:r>
        <w:rPr>
          <w:b w:val="0"/>
        </w:rPr>
        <w:t>EchoType 可参考共享素材与多模式组织；TypeWords 参考跟写、听写和复习；asbplayer 参考片段播放与字幕交互。已核候选许可分别为 MIT、GPL-3.0、AGPL-3.0；只作逻辑参考，不承诺直接复制或整站拼接，采用代码前再检查具体版本及独立资源许可。[42][43][44]</w:t>
      </w:r>
    </w:p>
    <w:p>
      <w:r>
        <w:rPr>
          <w:b w:val="0"/>
        </w:rPr>
        <w:t>复杂语法课程、同步听打说挑战、AI 口语评价、跨设备同步和内容推荐后置。录音拒绝或不可用时，其他真实完成步骤照常保留，口语部分标未评估，不虚增完成量。换主题须保留 attempt、草稿、参考版本、媒体位置和任务关联，不重置或重奖。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冻结练习计时并断段，降低动效；背景声淡出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视频录制与声音</w:t>
      </w:r>
    </w:p>
    <w:p>
      <w:r>
        <w:rPr>
          <w:b w:val="0"/>
        </w:rPr>
        <w:t>需要进入成片的动效在 Canvas 共用场景绘制，声音由音频总线单独混合。编辑器按钮和属性面板可以用 DOM 动画；DOM 不会自动进入 Canvas 成片。[22]</w:t>
      </w:r>
    </w:p>
    <w:p>
      <w:pPr>
        <w:pStyle w:val="Heading2"/>
      </w:pPr>
      <w:r>
        <w:t>三段可验证的顺序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5587"/>
        <w:gridCol w:w="3024"/>
      </w:tblGrid>
      <w:tr>
        <w:trPr>
          <w:cantSplit/>
          <w:tblHeader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建议顺序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失败处理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加载视频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检查来源与解码 → 取得首帧 → 建立场景 → 显示可开始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显示真实错误；允许重试，不反复播入场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进入练习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准备数据快照 → 启动统一时钟 → 短入场 → 正常反馈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用户直接输入时可立即进入正常状态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退出或结束录制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停止接收本轮事件 → 固定结算 → 短退场 → 结束编码与保存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分别提示保存与导出结果，保留可重试记录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预览与成片一致</w:t>
      </w:r>
    </w:p>
    <w:p>
      <w:pPr>
        <w:spacing w:after="100"/>
        <w:ind w:left="0"/>
      </w:pPr>
      <w:r>
        <w:rPr>
          <w:b w:val="0"/>
        </w:rPr>
        <w:t>•  FrameContext 区分练习计时、表现时间、mediaTime 与录制经过时间。视频暂停只冻结媒体及取色，输入和奖励仍按会话／表现时钟推进；整场练习暂停才冻结练习计时。绘制函数不自行读时钟或发声。</w:t>
      </w:r>
    </w:p>
    <w:p>
      <w:pPr>
        <w:spacing w:after="100"/>
        <w:ind w:left="0"/>
      </w:pPr>
      <w:r>
        <w:rPr>
          <w:b w:val="0"/>
        </w:rPr>
        <w:t>•  预览与录制读取相同场景、数据与参数。动效按事件与尝试标识去重；回放和测试默认静音，不补播历史奖励。若用随机装饰则固定种子。</w:t>
      </w:r>
    </w:p>
    <w:p>
      <w:pPr>
        <w:spacing w:after="100"/>
        <w:ind w:left="0"/>
      </w:pPr>
      <w:r>
        <w:rPr>
          <w:b w:val="0"/>
        </w:rPr>
        <w:t>•  实时录制把当时配色直接绘入成片，正常播放不需额外颜色轨迹；保存工程并再次离线重渲染时，才需轨迹或等价确定性方案。</w:t>
      </w:r>
    </w:p>
    <w:p>
      <w:pPr>
        <w:pStyle w:val="Heading2"/>
      </w:pPr>
      <w:r>
        <w:t>声音默认克制</w:t>
      </w:r>
    </w:p>
    <w:p>
      <w:r>
        <w:rPr>
          <w:b w:val="0"/>
        </w:rPr>
        <w:t>先试正确、修正、完成三类低强度提示，支持关闭和限频，不逐键响。教学、麦克风、反馈、环境声分增益和监听／入片路由；跟读时压低其他声音，麦克风不回放到扬声器。白噪音默认关闭、音量稳定，不随速度变，默认不录入；不宣称提高专注。</w:t>
      </w:r>
    </w:p>
    <w:p>
      <w:r>
        <w:rPr>
          <w:b w:val="0"/>
        </w:rPr>
        <w:t>浏览器可能要求用户先操作才播放声音。用明确按钮启音；失败时显示未启用。摄像头与麦克风分别授权，拒绝不影响普通练习。后台暂停非必要声画，不补播；录制需保持前台的限制要明确。[5][14]</w:t>
      </w:r>
    </w:p>
    <w:p>
      <w:pPr>
        <w:pStyle w:val="Heading2"/>
      </w:pPr>
      <w:r>
        <w:t>减少动态与可访问性</w:t>
      </w:r>
    </w:p>
    <w:p>
      <w:r>
        <w:rPr>
          <w:b w:val="0"/>
        </w:rPr>
        <w:t>减少动态是整个场景的策略，不能只设置 MotionConfig。取消持续呼吸和大位移，不频闪；保留文字、数值和非颜色提示，并允许暂停装饰。[1][6]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后台高级面板开放完整已登记属性；用户简版先提供主题、字号、环境色跟随强度和反馈档位，进阶属性折叠。两者与 JSON 导入、AI 共用校验和撤销。任意新外形仍需对应绘制代码或素材，不能仅靠 JSON 凭空生成。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视频环境配色</w:t>
      </w:r>
    </w:p>
    <w:p>
      <w:r>
        <w:rPr>
          <w:b w:val="0"/>
        </w:rPr>
        <w:t>像电视环境光一样，借视频颜色延伸氛围。提供首帧定色和实时随色两种模式，都不改变布局；可借鉴 YouTube 环境模式的呈现，不声称采用同款算法。[31]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建议行为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首个有效画面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已有解码画面且视频宽高非零时取样。黑屏、近白或低信息片头先用安全主题，等自然播放出现有效帧；不为取色擅自播放或跳转。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实时随色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从原始视频的小缩略图提取主色及四边色；只投向指定色槽和低强度环境光，不采已叠加 HUD 的合成画面。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保护与关闭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正文与状态色稳定，手动锁定优先。支持关闭与回默认；减少动态用静态首帧。黑白片可用中性色，真实纯色画面仍可有效，不只按画面方差拒绝。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采样与变化速度</w:t>
      </w:r>
    </w:p>
    <w:p>
      <w:r>
        <w:rPr>
          <w:b w:val="0"/>
        </w:rPr>
        <w:t>建议先按 8 Hz、64×36 至 96×54 像素采样；可见颜色经过时间平滑，常规约 0.6 秒、明显切镜约 0.25 秒，并限制亮度与色差突变。均为待实测建议。裁黑边、字幕区降权；白闪保持上一有效色，低色度稳定色相。暂停停采，跳转重置平滑，切视频取消旧结果；不逐帧更新 React 状态。[24][28]</w:t>
      </w:r>
    </w:p>
    <w:p>
      <w:pPr>
        <w:pStyle w:val="Heading2"/>
      </w:pPr>
      <w:r>
        <w:t>视频能播放 不代表能取色</w:t>
      </w:r>
    </w:p>
    <w:p>
      <w:r>
        <w:rPr>
          <w:b w:val="0"/>
        </w:rPr>
        <w:t>跨域视频必须获源站 CORS 许可。YouTube 跨域 iframe 没有可供本页读取的像素接口；受保护媒体也可能禁止读取。先用独立采样画布试读，失败就回手选或静态主题并提示一次；不能污染录制画布，不承诺所有视频都能取色。[25][26][27][30]</w:t>
      </w:r>
    </w:p>
    <w:p>
      <w:pPr>
        <w:pStyle w:val="Heading2"/>
      </w:pPr>
      <w:r>
        <w:t>录制与本地处理</w:t>
      </w:r>
    </w:p>
    <w:p>
      <w:r>
        <w:rPr>
          <w:b w:val="0"/>
        </w:rPr>
        <w:t>取色在本地进行，不上传画面。解析后的 palette snapshot 同时供 Canvas 与 DOM 使用，不持续改写持久 JSON。实时成片已经包含当时颜色。仅在保存工程并再次重渲染时，才另存首帧种子、调色板轨迹和版本或使用确定性预分析；普通成片播放无需轨迹，不承诺零帧延迟。[22][24]</w:t>
      </w:r>
    </w:p>
    <w:p>
      <w:r>
        <w:rPr>
          <w:b w:val="0"/>
        </w:rPr>
        <w:t>初始性能预算建议每次采样与分析 p95 小于 2 毫秒，超限降到 4 Hz 或更小缩略图；需实测后确认。只给专用小采样画布评估 willReadFrequently。[32]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可靠性与数据保护</w:t>
      </w:r>
    </w:p>
    <w:p>
      <w:r>
        <w:rPr>
          <w:b w:val="0"/>
        </w:rPr>
        <w:t>先保证数据不重、不丢、能解释，再增加动效复杂度。动效故障应退回静态 HUD，不能中断输入和保存。</w:t>
      </w:r>
    </w:p>
    <w:p>
      <w:pPr>
        <w:pStyle w:val="Heading2"/>
      </w:pPr>
      <w:r>
        <w:t>本地记录与恢复</w:t>
      </w:r>
    </w:p>
    <w:p>
      <w:pPr>
        <w:spacing w:after="100"/>
        <w:ind w:left="0"/>
      </w:pPr>
      <w:r>
        <w:rPr>
          <w:b w:val="0"/>
        </w:rPr>
        <w:t>•  完成与成果入账带唯一标识；重复事件、刷新、重试、录制重放都不会重复加分。</w:t>
      </w:r>
    </w:p>
    <w:p>
      <w:pPr>
        <w:spacing w:after="100"/>
        <w:ind w:left="0"/>
      </w:pPr>
      <w:r>
        <w:rPr>
          <w:b w:val="0"/>
        </w:rPr>
        <w:t>•  记录格式、指标规则和配置分别带版本。保留原始必要计数，重评另存并标明版本，不静默改写旧成绩；聚合每次只采用一个选定结果。</w:t>
      </w:r>
    </w:p>
    <w:p>
      <w:pPr>
        <w:spacing w:after="100"/>
        <w:ind w:left="0"/>
      </w:pPr>
      <w:r>
        <w:rPr>
          <w:b w:val="0"/>
        </w:rPr>
        <w:t>•  保存失败、配额不足或导出失败时给出明确状态；不要提前显示已保存。恢复时避免重复结算。</w:t>
      </w:r>
    </w:p>
    <w:p>
      <w:pPr>
        <w:spacing w:after="100"/>
        <w:ind w:left="0"/>
      </w:pPr>
      <w:r>
        <w:rPr>
          <w:b w:val="0"/>
        </w:rPr>
        <w:t>•  优先复用现有 IndexedDB 与导出链路；新增历史页前先验证迁移、备份、清除和恢复。[7][8]</w:t>
      </w:r>
    </w:p>
    <w:p>
      <w:pPr>
        <w:pStyle w:val="Heading2"/>
      </w:pPr>
      <w:r>
        <w:t>最小化与用户控制</w:t>
      </w:r>
    </w:p>
    <w:p>
      <w:r>
        <w:rPr>
          <w:b w:val="0"/>
        </w:rPr>
        <w:t>沿用本地保存，不为动效增加云端上传。练习事件与媒体文件分开：现有事件回放和录屏 7 天策略不擅自更改。逐键明细若仅存内存会影响回放，必须另做决策；保留期限、清除和导出规则确认后才调整。</w:t>
      </w:r>
    </w:p>
    <w:p>
      <w:r>
        <w:rPr>
          <w:b w:val="0"/>
        </w:rPr>
        <w:t>导出前显示是否含练习文本等可能敏感的内容。用户可只导出汇总。日志不写完整按键文本、身份令牌或原始媒体地址中的凭证。</w:t>
      </w:r>
    </w:p>
    <w:p>
      <w:pPr>
        <w:pStyle w:val="Heading2"/>
      </w:pPr>
      <w:r>
        <w:t>性能建议门槛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752"/>
        <w:gridCol w:w="3773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建议目标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降级方式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输入与绘制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键入无明显延迟，指标计算不阻塞主输入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降低装饰刷新率，保留输入反馈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场景刷新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按设备验证稳定帧率，不承诺所有设备 60 帧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关闭模糊、阴影及多层装饰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切后台与暂停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停止不必要动画、音频与采样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恢复时重建时间基准，不补跑动画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长会话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检查内存增长、定时器和音频节点回收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分段聚合，释放过期明细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验收记录包含设备、浏览器、分辨率和素材。具体帧率与内存预算在基准测试后确定，不凭体验描述签收。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至少区分已覆盖范围内确认无活动、未开始记录／数据缺失、数据不完整。未知不填 0；尚未同步不能直接判无练习，也不能据此制造断签惩罚。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同一来源事件、规则版本和适用范围只生成一条奖励记录，保存 earnedAt、ruleVersion、sourceEventIds 和 scope。刷新、重连、同步、重复打开结算页或切档均不重授；展示隐藏不撤销已获成就。正常纠错和用户删除按既定数据规则处理。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首批只做账本规则、档位设置和轻量结算。完整徽章墙、复杂动画和排行榜仍后置；已满足的成就在三档一致，展示方式可不同。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私有分享草稿与录屏</w:t>
      </w:r>
    </w:p>
    <w:p>
      <w:r>
        <w:rPr>
          <w:b w:val="0"/>
        </w:rPr>
        <w:t>每次练习结束后自动备好可选私有草稿，不自动公开。分享入口安静地放在结算页，用户可直接离开，不因不分享失去奖励。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032"/>
        <w:gridCol w:w="4320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候选内容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生成条件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本次事实卡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练习结束，当前统计可用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注明本次／今天／累计、单位与必要分母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成就或进步卡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确有新成就或可比的历史基线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无新成就就省略；不拼凑虚假提升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最近 7 天或当月的真实数据可用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缺失状态保留，不补造连续天数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录屏片段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已有用户选择录制的可用成片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预览、截取后选择导出；不自动开麦或录像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预生成到导出之间</w:t>
      </w:r>
    </w:p>
    <w:p>
      <w:r>
        <w:rPr>
          <w:b w:val="0"/>
        </w:rPr>
        <w:t>建议备好 2 至 3 张合适卡片，数据不足则减少数量。用户选择卡片或片段 → 预览 → 选择可见字段 → 主动导出或系统分享。支持静态图优先；不替用户预选公开平台，不自动换目的地。取消、拒绝权限或离线不影响练习记录。</w:t>
      </w:r>
    </w:p>
    <w:p>
      <w:pPr>
        <w:pStyle w:val="Heading2"/>
      </w:pPr>
      <w:r>
        <w:t>默认隐藏的内容</w:t>
      </w:r>
    </w:p>
    <w:p>
      <w:r>
        <w:rPr>
          <w:b w:val="0"/>
        </w:rPr>
        <w:t>实名、学校、年龄、精准时间、私人练习原文、头像／人脸与录音默认不进入分享。人脸或音频需要另行选入并预览；儿童友好样式不放宽要求。预览、图像像素、替代文本、文件名、元数据及链接必须使用同一脱敏快照，不能把隐藏字段塞进附带数据。</w:t>
      </w:r>
    </w:p>
    <w:p>
      <w:pPr>
        <w:pStyle w:val="Heading2"/>
      </w:pPr>
      <w:r>
        <w:t>可信数字与分享状态</w:t>
      </w:r>
    </w:p>
    <w:p>
      <w:r>
        <w:rPr>
          <w:b w:val="0"/>
        </w:rPr>
        <w:t>卡片保留 snapshotId、生成时间、日期范围、时区、metricVersion 和来源，公开部分只保留用户选定字段。击败百分比在有真实、合法、同条件群体样本及并列口径之前禁用；个人提升必须有可比基线，学习时长不写成能力增长。</w:t>
      </w:r>
    </w:p>
    <w:p>
      <w:r>
        <w:rPr>
          <w:b w:val="0"/>
        </w:rPr>
        <w:t>Web Share 需要用户操作；成功返回可能只是交给系统分享面板，应记为已交接，而非确认发布。不支持时只提供用户主动下载等回退，不自动外发。[38]</w:t>
      </w:r>
    </w:p>
    <w:p>
      <w:pPr>
        <w:pStyle w:val="Heading2"/>
      </w:pPr>
      <w:r>
        <w:t>录屏与复用</w:t>
      </w:r>
    </w:p>
    <w:p>
      <w:r>
        <w:rPr>
          <w:b w:val="0"/>
        </w:rPr>
        <w:t>实时成片已包含画面与配色，分享不要求重算轨迹。若用户保存可编辑工程供将来重渲染，才使用工程所需数据；分享默认不附完整训练账本或工程。</w:t>
      </w:r>
    </w:p>
    <w:p>
      <w:pPr>
        <w:pStyle w:val="Heading1"/>
        <w:pageBreakBefore/>
      </w:pPr>
      <w:r>
        <w:t>详细方案 18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19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学习基础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素材／字幕版本、attempt 投影、计时与奖励合同；保留 v22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既有事件可复用，旧历史不变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F01–F10 的 06、最小档案与录制约束继续有效；新闭环按详细方案 4 验收，十主题、成就墙和 AI 不提前算完成。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v1.3 增加 F11–F13 及最小教学闭环；F01–F10 全保留，个人中心看板不改变已收口 HUD。表中为建议执行顺序，不代表用户已批准全部实现或重新安排当前任务。本轮只修订文档，代码实施与具体批次仍待确认。</w:t>
      </w:r>
    </w:p>
    <w:p>
      <w:pPr>
        <w:pStyle w:val="Heading1"/>
        <w:pageBreakBefore/>
      </w:pPr>
      <w:r>
        <w:t>来源与查阅</w:t>
      </w:r>
    </w:p>
    <w:p>
      <w:r>
        <w:rPr>
          <w:b w:val="0"/>
        </w:rPr>
        <w:t>以下官方资料支持设计与技术判断；动效、分档和里程碑阈值均为产品建议，未冒充外部研究结论。</w:t>
      </w:r>
    </w:p>
    <w:p>
      <w:pPr>
        <w:spacing w:after="0" w:line="270" w:lineRule="exact"/>
      </w:pPr>
      <w:hyperlink r:id="rId10">
        <w:r>
          <w:rPr>
            <w:color w:val="215978"/>
            <w:sz w:val="20"/>
          </w:rPr>
          <w:t>[1] Motion 文档 MotionConfig 与减少动态</w:t>
        </w:r>
      </w:hyperlink>
    </w:p>
    <w:p>
      <w:pPr>
        <w:spacing w:after="0" w:line="270" w:lineRule="exact"/>
      </w:pPr>
      <w:hyperlink r:id="rId11">
        <w:r>
          <w:rPr>
            <w:color w:val="215978"/>
            <w:sz w:val="20"/>
          </w:rPr>
          <w:t>[2] Leva 官方仓库与 MIT 许可证</w:t>
        </w:r>
      </w:hyperlink>
    </w:p>
    <w:p>
      <w:pPr>
        <w:spacing w:after="0" w:line="270" w:lineRule="exact"/>
      </w:pPr>
      <w:hyperlink r:id="rId12">
        <w:r>
          <w:rPr>
            <w:color w:val="215978"/>
            <w:sz w:val="20"/>
          </w:rPr>
          <w:t>[3] Tweakpane 官方仓库与 MIT 许可证</w:t>
        </w:r>
      </w:hyperlink>
    </w:p>
    <w:p>
      <w:pPr>
        <w:spacing w:after="0" w:line="270" w:lineRule="exact"/>
      </w:pPr>
      <w:hyperlink r:id="rId13">
        <w:r>
          <w:rPr>
            <w:color w:val="215978"/>
            <w:sz w:val="20"/>
          </w:rPr>
          <w:t>[4] MDN InputEvent 输入事件</w:t>
        </w:r>
      </w:hyperlink>
    </w:p>
    <w:p>
      <w:pPr>
        <w:spacing w:after="0" w:line="270" w:lineRule="exact"/>
      </w:pPr>
      <w:hyperlink r:id="rId14">
        <w:r>
          <w:rPr>
            <w:color w:val="215978"/>
            <w:sz w:val="20"/>
          </w:rPr>
          <w:t>[5] MDN 自动播放与 Web Audio 限制</w:t>
        </w:r>
      </w:hyperlink>
    </w:p>
    <w:p>
      <w:pPr>
        <w:spacing w:after="0" w:line="270" w:lineRule="exact"/>
      </w:pPr>
      <w:hyperlink r:id="rId15">
        <w:r>
          <w:rPr>
            <w:color w:val="215978"/>
            <w:sz w:val="20"/>
          </w:rPr>
          <w:t>[6] W3C 动画交互可关闭要求</w:t>
        </w:r>
      </w:hyperlink>
    </w:p>
    <w:p>
      <w:pPr>
        <w:spacing w:after="0" w:line="270" w:lineRule="exact"/>
      </w:pPr>
      <w:hyperlink r:id="rId16">
        <w:r>
          <w:rPr>
            <w:color w:val="215978"/>
            <w:sz w:val="20"/>
          </w:rPr>
          <w:t>[7] MDN IndexedDB API</w:t>
        </w:r>
      </w:hyperlink>
    </w:p>
    <w:p>
      <w:pPr>
        <w:spacing w:after="0" w:line="270" w:lineRule="exact"/>
      </w:pPr>
      <w:hyperlink r:id="rId17">
        <w:r>
          <w:rPr>
            <w:color w:val="215978"/>
            <w:sz w:val="20"/>
          </w:rPr>
          <w:t>[8] MDN 浏览器存储配额与逐出规则</w:t>
        </w:r>
      </w:hyperlink>
    </w:p>
    <w:p>
      <w:pPr>
        <w:spacing w:after="0" w:line="270" w:lineRule="exact"/>
      </w:pPr>
      <w:hyperlink r:id="rId18">
        <w:r>
          <w:rPr>
            <w:color w:val="215978"/>
            <w:sz w:val="20"/>
          </w:rPr>
          <w:t>[9] MDN Page Visibility API</w:t>
        </w:r>
      </w:hyperlink>
    </w:p>
    <w:p>
      <w:pPr>
        <w:spacing w:after="0" w:line="270" w:lineRule="exact"/>
      </w:pPr>
      <w:hyperlink r:id="rId19">
        <w:r>
          <w:rPr>
            <w:color w:val="215978"/>
            <w:sz w:val="20"/>
          </w:rPr>
          <w:t>[10] MDN performance now 单调时钟</w:t>
        </w:r>
      </w:hyperlink>
    </w:p>
    <w:p>
      <w:pPr>
        <w:spacing w:after="0" w:line="270" w:lineRule="exact"/>
      </w:pPr>
      <w:hyperlink r:id="rId20">
        <w:r>
          <w:rPr>
            <w:color w:val="215978"/>
            <w:sz w:val="20"/>
          </w:rPr>
          <w:t>[11] Monkeytype 官方数据接口</w:t>
        </w:r>
      </w:hyperlink>
    </w:p>
    <w:p>
      <w:pPr>
        <w:spacing w:after="0" w:line="270" w:lineRule="exact"/>
      </w:pPr>
      <w:hyperlink r:id="rId21">
        <w:r>
          <w:rPr>
            <w:color w:val="215978"/>
            <w:sz w:val="20"/>
          </w:rPr>
          <w:t>[12] Keybr 官方项目与练习目标</w:t>
        </w:r>
      </w:hyperlink>
    </w:p>
    <w:p>
      <w:pPr>
        <w:spacing w:after="0" w:line="270" w:lineRule="exact"/>
      </w:pPr>
      <w:hyperlink r:id="rId22">
        <w:r>
          <w:rPr>
            <w:color w:val="215978"/>
            <w:sz w:val="20"/>
          </w:rPr>
          <w:t>[13] Duolingo 学习成效研究框架</w:t>
        </w:r>
      </w:hyperlink>
    </w:p>
    <w:p>
      <w:pPr>
        <w:spacing w:after="0" w:line="270" w:lineRule="exact"/>
      </w:pPr>
      <w:hyperlink r:id="rId23">
        <w:r>
          <w:rPr>
            <w:color w:val="215978"/>
            <w:sz w:val="20"/>
          </w:rPr>
          <w:t>[14] MDN Web Audio 输出音轨</w:t>
        </w:r>
      </w:hyperlink>
    </w:p>
    <w:p>
      <w:pPr>
        <w:spacing w:after="0" w:line="270" w:lineRule="exact"/>
      </w:pPr>
      <w:hyperlink r:id="rId24">
        <w:r>
          <w:rPr>
            <w:color w:val="215978"/>
            <w:sz w:val="20"/>
          </w:rPr>
          <w:t>[15] W3C 最低文字对比度</w:t>
        </w:r>
      </w:hyperlink>
    </w:p>
    <w:p>
      <w:pPr>
        <w:spacing w:after="0" w:line="270" w:lineRule="exact"/>
      </w:pPr>
      <w:hyperlink r:id="rId25">
        <w:r>
          <w:rPr>
            <w:color w:val="215978"/>
            <w:sz w:val="20"/>
          </w:rPr>
          <w:t>[16] W3C 非文字对比度</w:t>
        </w:r>
      </w:hyperlink>
    </w:p>
    <w:p>
      <w:pPr>
        <w:spacing w:after="0" w:line="270" w:lineRule="exact"/>
      </w:pPr>
      <w:hyperlink r:id="rId26">
        <w:r>
          <w:rPr>
            <w:color w:val="215978"/>
            <w:sz w:val="20"/>
          </w:rPr>
          <w:t>[17] DTCG 2025.10 颜色变量格式</w:t>
        </w:r>
      </w:hyperlink>
    </w:p>
    <w:p>
      <w:pPr>
        <w:spacing w:after="0" w:line="270" w:lineRule="exact"/>
      </w:pPr>
      <w:hyperlink r:id="rId27">
        <w:r>
          <w:rPr>
            <w:color w:val="215978"/>
            <w:sz w:val="20"/>
          </w:rPr>
          <w:t>[18] Zod JSON Schema 支持</w:t>
        </w:r>
      </w:hyperlink>
    </w:p>
    <w:p>
      <w:pPr>
        <w:spacing w:after="0" w:line="270" w:lineRule="exact"/>
      </w:pPr>
      <w:hyperlink r:id="rId28">
        <w:r>
          <w:rPr>
            <w:color w:val="215978"/>
            <w:sz w:val="20"/>
          </w:rPr>
          <w:t>[19] Color.js 对比度计算</w:t>
        </w:r>
      </w:hyperlink>
    </w:p>
    <w:p>
      <w:pPr>
        <w:spacing w:after="0" w:line="270" w:lineRule="exact"/>
      </w:pPr>
      <w:hyperlink r:id="rId29">
        <w:r>
          <w:rPr>
            <w:color w:val="215978"/>
            <w:sz w:val="20"/>
          </w:rPr>
          <w:t>[20] GSAP Standard License</w:t>
        </w:r>
      </w:hyperlink>
    </w:p>
    <w:p>
      <w:pPr>
        <w:spacing w:after="0" w:line="270" w:lineRule="exact"/>
      </w:pPr>
      <w:hyperlink r:id="rId30">
        <w:r>
          <w:rPr>
            <w:color w:val="215978"/>
            <w:sz w:val="20"/>
          </w:rPr>
          <w:t>[21] Rive 套餐与导出约束</w:t>
        </w:r>
      </w:hyperlink>
    </w:p>
    <w:p>
      <w:pPr>
        <w:spacing w:after="0" w:line="270" w:lineRule="exact"/>
      </w:pPr>
      <w:hyperlink r:id="rId31">
        <w:r>
          <w:rPr>
            <w:color w:val="215978"/>
            <w:sz w:val="20"/>
          </w:rPr>
          <w:t>[22] MDN Canvas 捕获画面</w:t>
        </w:r>
      </w:hyperlink>
    </w:p>
    <w:p>
      <w:pPr>
        <w:spacing w:after="0" w:line="270" w:lineRule="exact"/>
      </w:pPr>
      <w:hyperlink r:id="rId32">
        <w:r>
          <w:rPr>
            <w:color w:val="215978"/>
            <w:sz w:val="20"/>
          </w:rPr>
          <w:t>[23] Zwift 训练 HUD 与目标区间</w:t>
        </w:r>
      </w:hyperlink>
    </w:p>
    <w:p>
      <w:pPr>
        <w:spacing w:after="0" w:line="270" w:lineRule="exact"/>
      </w:pPr>
      <w:hyperlink r:id="rId33">
        <w:r>
          <w:rPr>
            <w:color w:val="215978"/>
            <w:sz w:val="20"/>
          </w:rPr>
          <w:t>[24] MDN 视频帧回调与调度</w:t>
        </w:r>
      </w:hyperlink>
    </w:p>
    <w:p>
      <w:pPr>
        <w:spacing w:after="0" w:line="270" w:lineRule="exact"/>
      </w:pPr>
      <w:hyperlink r:id="rId34">
        <w:r>
          <w:rPr>
            <w:color w:val="215978"/>
            <w:sz w:val="20"/>
          </w:rPr>
          <w:t>[25] MDN 跨域图片与画布限制</w:t>
        </w:r>
      </w:hyperlink>
    </w:p>
    <w:p>
      <w:pPr>
        <w:spacing w:after="0" w:line="270" w:lineRule="exact"/>
      </w:pPr>
      <w:hyperlink r:id="rId35">
        <w:r>
          <w:rPr>
            <w:color w:val="215978"/>
            <w:sz w:val="20"/>
          </w:rPr>
          <w:t>[26] YouTube iframe API</w:t>
        </w:r>
      </w:hyperlink>
    </w:p>
    <w:p>
      <w:pPr>
        <w:spacing w:after="0" w:line="270" w:lineRule="exact"/>
      </w:pPr>
      <w:hyperlink r:id="rId36">
        <w:r>
          <w:rPr>
            <w:color w:val="215978"/>
            <w:sz w:val="20"/>
          </w:rPr>
          <w:t>[27] W3C 受保护媒体的数据读取限制</w:t>
        </w:r>
      </w:hyperlink>
    </w:p>
    <w:p>
      <w:pPr>
        <w:spacing w:after="0" w:line="270" w:lineRule="exact"/>
      </w:pPr>
      <w:hyperlink r:id="rId37">
        <w:r>
          <w:rPr>
            <w:color w:val="215978"/>
            <w:sz w:val="20"/>
          </w:rPr>
          <w:t>[28] Color Thief 视频与实时取色 API</w:t>
        </w:r>
      </w:hyperlink>
    </w:p>
    <w:p>
      <w:pPr>
        <w:spacing w:after="0" w:line="270" w:lineRule="exact"/>
      </w:pPr>
      <w:hyperlink r:id="rId38">
        <w:r>
          <w:rPr>
            <w:color w:val="215978"/>
            <w:sz w:val="20"/>
          </w:rPr>
          <w:t>[29] Immer 补丁与逆向补丁</w:t>
        </w:r>
      </w:hyperlink>
    </w:p>
    <w:p>
      <w:pPr>
        <w:spacing w:after="0" w:line="270" w:lineRule="exact"/>
      </w:pPr>
      <w:hyperlink r:id="rId39">
        <w:r>
          <w:rPr>
            <w:color w:val="215978"/>
            <w:sz w:val="20"/>
          </w:rPr>
          <w:t>[30] MDN 同源策略</w:t>
        </w:r>
      </w:hyperlink>
    </w:p>
    <w:p>
      <w:pPr>
        <w:spacing w:after="0" w:line="270" w:lineRule="exact"/>
      </w:pPr>
      <w:hyperlink r:id="rId40">
        <w:r>
          <w:rPr>
            <w:color w:val="215978"/>
            <w:sz w:val="20"/>
          </w:rPr>
          <w:t>[31] YouTube 环境模式设计参考</w:t>
        </w:r>
      </w:hyperlink>
    </w:p>
    <w:p>
      <w:pPr>
        <w:spacing w:after="0" w:line="270" w:lineRule="exact"/>
      </w:pPr>
      <w:hyperlink r:id="rId41">
        <w:r>
          <w:rPr>
            <w:color w:val="215978"/>
            <w:sz w:val="20"/>
          </w:rPr>
          <w:t>[32] MDN Canvas 上下文与频繁读取选项</w:t>
        </w:r>
      </w:hyperlink>
    </w:p>
    <w:p>
      <w:pPr>
        <w:spacing w:after="0" w:line="270" w:lineRule="exact"/>
      </w:pPr>
      <w:hyperlink r:id="rId42">
        <w:r>
          <w:rPr>
            <w:color w:val="215978"/>
            <w:sz w:val="20"/>
          </w:rPr>
          <w:t>[33] Fast Average Color 官方项目与许可</w:t>
        </w:r>
      </w:hyperlink>
    </w:p>
    <w:p>
      <w:pPr>
        <w:spacing w:after="0" w:line="270" w:lineRule="exact"/>
      </w:pPr>
      <w:hyperlink r:id="rId43">
        <w:r>
          <w:rPr>
            <w:color w:val="215978"/>
            <w:sz w:val="20"/>
          </w:rPr>
          <w:t>[34] GitHub 贡献活动的统计范围</w:t>
        </w:r>
      </w:hyperlink>
    </w:p>
    <w:p>
      <w:pPr>
        <w:spacing w:after="0" w:line="270" w:lineRule="exact"/>
      </w:pPr>
      <w:hyperlink r:id="rId44">
        <w:r>
          <w:rPr>
            <w:color w:val="215978"/>
            <w:sz w:val="20"/>
          </w:rPr>
          <w:t>[35] GitHub 日历与日期范围交互</w:t>
        </w:r>
      </w:hyperlink>
    </w:p>
    <w:p>
      <w:pPr>
        <w:spacing w:after="0" w:line="270" w:lineRule="exact"/>
      </w:pPr>
      <w:hyperlink r:id="rId45">
        <w:r>
          <w:rPr>
            <w:color w:val="215978"/>
            <w:sz w:val="20"/>
          </w:rPr>
          <w:t>[36] react activity calendar 官方组件</w:t>
        </w:r>
      </w:hyperlink>
    </w:p>
    <w:p>
      <w:pPr>
        <w:spacing w:after="0" w:line="270" w:lineRule="exact"/>
      </w:pPr>
      <w:hyperlink r:id="rId46">
        <w:r>
          <w:rPr>
            <w:color w:val="215978"/>
            <w:sz w:val="20"/>
          </w:rPr>
          <w:t>[37] Nivo Calendar 官方组件</w:t>
        </w:r>
      </w:hyperlink>
    </w:p>
    <w:p>
      <w:pPr>
        <w:spacing w:after="0" w:line="270" w:lineRule="exact"/>
      </w:pPr>
      <w:hyperlink r:id="rId47">
        <w:r>
          <w:rPr>
            <w:color w:val="215978"/>
            <w:sz w:val="20"/>
          </w:rPr>
          <w:t>[38] W3C Web Share 规范</w:t>
        </w:r>
      </w:hyperlink>
    </w:p>
    <w:p>
      <w:pPr>
        <w:spacing w:after="0" w:line="270" w:lineRule="exact"/>
      </w:pPr>
      <w:hyperlink r:id="rId48">
        <w:r>
          <w:rPr>
            <w:color w:val="215978"/>
            <w:sz w:val="20"/>
          </w:rPr>
          <w:t>[39] W3C 暂停停止隐藏要求</w:t>
        </w:r>
      </w:hyperlink>
    </w:p>
    <w:p>
      <w:pPr>
        <w:spacing w:after="0" w:line="270" w:lineRule="exact"/>
      </w:pPr>
      <w:hyperlink r:id="rId49">
        <w:r>
          <w:rPr>
            <w:color w:val="215978"/>
            <w:sz w:val="20"/>
          </w:rPr>
          <w:t>[40] W3C 状态消息与辅助技术</w:t>
        </w:r>
      </w:hyperlink>
    </w:p>
    <w:p>
      <w:pPr>
        <w:spacing w:after="0" w:line="270" w:lineRule="exact"/>
      </w:pPr>
      <w:hyperlink r:id="rId50">
        <w:r>
          <w:rPr>
            <w:color w:val="215978"/>
            <w:sz w:val="20"/>
          </w:rPr>
          <w:t>[41] Duolingo 课程进度与活动分数</w:t>
        </w:r>
      </w:hyperlink>
    </w:p>
    <w:p>
      <w:pPr>
        <w:spacing w:after="0" w:line="270" w:lineRule="exact"/>
      </w:pPr>
      <w:hyperlink r:id="rId51">
        <w:r>
          <w:rPr>
            <w:color w:val="215978"/>
            <w:sz w:val="20"/>
          </w:rPr>
          <w:t>[42] EchoType 官方仓库与许可</w:t>
        </w:r>
      </w:hyperlink>
    </w:p>
    <w:p>
      <w:pPr>
        <w:spacing w:after="0" w:line="270" w:lineRule="exact"/>
      </w:pPr>
      <w:hyperlink r:id="rId52">
        <w:r>
          <w:rPr>
            <w:color w:val="215978"/>
            <w:sz w:val="20"/>
          </w:rPr>
          <w:t>[43] TypeWords 官方仓库与许可</w:t>
        </w:r>
      </w:hyperlink>
    </w:p>
    <w:p>
      <w:pPr>
        <w:spacing w:after="0" w:line="270" w:lineRule="exact"/>
      </w:pPr>
      <w:hyperlink r:id="rId53">
        <w:r>
          <w:rPr>
            <w:color w:val="215978"/>
            <w:sz w:val="20"/>
          </w:rPr>
          <w:t>[44] asbplayer 官方仓库与许可</w:t>
        </w:r>
      </w:hyperlink>
    </w:p>
    <w:p>
      <w:pPr>
        <w:spacing w:after="0" w:line="270" w:lineRule="exact"/>
      </w:pPr>
      <w:hyperlink r:id="rId54">
        <w:r>
          <w:rPr>
            <w:color w:val="215978"/>
            <w:sz w:val="20"/>
          </w:rPr>
          <w:t>[45] ts fsrs 官方仓库与许可</w:t>
        </w:r>
      </w:hyperlink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规划建议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