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LingoTrace 学习闭环与动态 HUD 总纲</w:t>
      </w:r>
    </w:p>
    <w:p>
      <w:pPr>
        <w:pStyle w:val="Subtitle"/>
      </w:pPr>
      <w:r>
        <w:rPr>
          <w:b w:val="0"/>
        </w:rPr>
        <w:t>2026 年 10 月 8 日  第一版修订四</w:t>
      </w:r>
    </w:p>
    <w:p>
      <w:pPr>
        <w:pStyle w:val="Heading2"/>
      </w:pPr>
      <w:r>
        <w:t>目标</w:t>
      </w:r>
    </w:p>
    <w:p>
      <w:r>
        <w:rPr>
          <w:b w:val="0"/>
        </w:rPr>
        <w:t>以 06 v22 静态签收为基线，打通同素材练习、语境收藏、复习与真实历史。F01–F10 全部保留，F11–F13 为新增需求；建议分批验证，执行次序另行确认。</w:t>
      </w:r>
    </w:p>
    <w:p>
      <w:pPr>
        <w:pStyle w:val="Heading2"/>
      </w:pPr>
      <w:r>
        <w:t>功能清单</w:t>
      </w:r>
    </w:p>
    <w:p>
      <w:pPr>
        <w:spacing w:after="100"/>
        <w:ind w:left="0"/>
      </w:pPr>
      <w:r>
        <w:rPr>
          <w:b w:val="0"/>
        </w:rPr>
        <w:t>•  F01 真实数据：统一本站练习事件、统计口径与成果账本，不造历史或学习能力。</w:t>
      </w:r>
    </w:p>
    <w:p>
      <w:pPr>
        <w:spacing w:after="100"/>
        <w:ind w:left="0"/>
      </w:pPr>
      <w:r>
        <w:rPr>
          <w:b w:val="0"/>
        </w:rPr>
        <w:t>•  F02 状态动效：轻呼吸、真实输入响应、加载与进退场；趋势线后续增量。</w:t>
      </w:r>
    </w:p>
    <w:p>
      <w:pPr>
        <w:spacing w:after="100"/>
        <w:ind w:left="0"/>
      </w:pPr>
      <w:r>
        <w:rPr>
          <w:b w:val="0"/>
        </w:rPr>
        <w:t>•  F03 克制声音：少量可选提示音与白噪音，独立开关、音量和入片选择。</w:t>
      </w:r>
    </w:p>
    <w:p>
      <w:pPr>
        <w:spacing w:after="100"/>
        <w:ind w:left="0"/>
      </w:pPr>
      <w:r>
        <w:rPr>
          <w:b w:val="0"/>
        </w:rPr>
        <w:t>•  F04 全 HUD 配置：位置、大小、颜色、圆角、阴影和动效统一 JSON；手调与 AI 都尊重锁定。</w:t>
      </w:r>
    </w:p>
    <w:p>
      <w:pPr>
        <w:spacing w:after="100"/>
        <w:ind w:left="0"/>
      </w:pPr>
      <w:r>
        <w:rPr>
          <w:b w:val="0"/>
        </w:rPr>
        <w:t>•  F05 一致录制：共用场景与明确分开的时钟，实时成片和工程重渲染分别定义。</w:t>
      </w:r>
    </w:p>
    <w:p>
      <w:pPr>
        <w:spacing w:after="100"/>
        <w:ind w:left="0"/>
      </w:pPr>
      <w:r>
        <w:rPr>
          <w:b w:val="0"/>
        </w:rPr>
        <w:t>•  F06 分层验收：先验证 06，再验证最小日历与卡片，后续扩展十套皮肤。</w:t>
      </w:r>
    </w:p>
    <w:p>
      <w:pPr>
        <w:spacing w:after="100"/>
        <w:ind w:left="0"/>
      </w:pPr>
      <w:r>
        <w:rPr>
          <w:b w:val="0"/>
        </w:rPr>
        <w:t>•  F07 视频配色：首个有效帧定色，播放中轻缓随色；视频变化不改变布局。</w:t>
      </w:r>
    </w:p>
    <w:p>
      <w:pPr>
        <w:spacing w:after="100"/>
        <w:ind w:left="0"/>
      </w:pPr>
      <w:r>
        <w:rPr>
          <w:b w:val="0"/>
        </w:rPr>
        <w:t>•  F08 学习档案：本站真实记录生成日历热力图与组件看板，标明范围、时区和缺失状态。</w:t>
      </w:r>
    </w:p>
    <w:p>
      <w:pPr>
        <w:spacing w:after="100"/>
        <w:ind w:left="0"/>
      </w:pPr>
      <w:r>
        <w:rPr>
          <w:b w:val="0"/>
        </w:rPr>
        <w:t>•  F09 可选分享：练习后备好私有卡片；已有录屏可选片段，预览后主动导出或分享。</w:t>
      </w:r>
    </w:p>
    <w:p>
      <w:pPr>
        <w:spacing w:after="100"/>
        <w:ind w:left="0"/>
      </w:pPr>
      <w:r>
        <w:rPr>
          <w:b w:val="0"/>
        </w:rPr>
        <w:t>•  F10 激励档位：活跃、标准、专注只改反馈展示与声画，统计、资格和成就账本一致。</w:t>
      </w:r>
    </w:p>
    <w:p>
      <w:pPr>
        <w:spacing w:after="100"/>
        <w:ind w:left="0"/>
      </w:pPr>
      <w:r>
        <w:rPr>
          <w:b w:val="0"/>
        </w:rPr>
        <w:t>•  F11 统一素材：素材、字幕与句子共用稳定标识；支持合并、拆分、改文和时间校正，旧练习固定原参考版本。</w:t>
      </w:r>
    </w:p>
    <w:p>
      <w:pPr>
        <w:spacing w:after="100"/>
        <w:ind w:left="0"/>
      </w:pPr>
      <w:r>
        <w:rPr>
          <w:b w:val="0"/>
        </w:rPr>
        <w:t>•  F12 练习证据：同素材切换模式，复用已有事件生成尝试记录；保留条件、首答与修订，重新评分另存。</w:t>
      </w:r>
    </w:p>
    <w:p>
      <w:pPr>
        <w:spacing w:after="100"/>
        <w:ind w:left="0"/>
      </w:pPr>
      <w:r>
        <w:rPr>
          <w:b w:val="0"/>
        </w:rPr>
        <w:t>•  F13 语境与复习：收藏词句可回原片段，生成可解释复习任务，以实际复测更新记录；先验证一素材两三句。</w:t>
      </w:r>
    </w:p>
    <w:p>
      <w:pPr>
        <w:pStyle w:val="Heading2"/>
      </w:pPr>
      <w:r>
        <w:t>验收</w:t>
      </w:r>
    </w:p>
    <w:p>
      <w:pPr>
        <w:spacing w:after="100"/>
        <w:ind w:left="0"/>
      </w:pPr>
      <w:r>
        <w:rPr>
          <w:b w:val="0"/>
        </w:rPr>
        <w:t>•  每项数据可追溯；停打不扣累计，重复事件不重复入账，切档不重奖。</w:t>
      </w:r>
    </w:p>
    <w:p>
      <w:pPr>
        <w:spacing w:after="100"/>
        <w:ind w:left="0"/>
      </w:pPr>
      <w:r>
        <w:rPr>
          <w:b w:val="0"/>
        </w:rPr>
        <w:t>•  仅统计本站。练习记录、可选使用统计与分享许可分开，关闭后不隐瞒采集。</w:t>
      </w:r>
    </w:p>
    <w:p>
      <w:pPr>
        <w:spacing w:after="100"/>
        <w:ind w:left="0"/>
      </w:pPr>
      <w:r>
        <w:rPr>
          <w:b w:val="0"/>
        </w:rPr>
        <w:t>•  首访和首次练习只说明当前记录覆盖范围；未知不填零，学习量不等于掌握。</w:t>
      </w:r>
    </w:p>
    <w:p>
      <w:pPr>
        <w:spacing w:after="100"/>
        <w:ind w:left="0"/>
      </w:pPr>
      <w:r>
        <w:rPr>
          <w:b w:val="0"/>
        </w:rPr>
        <w:t>•  取色可降级，手动锁定与可读性优先；AI 改布局须主动选择，修改可预览撤销。</w:t>
      </w:r>
    </w:p>
    <w:p>
      <w:pPr>
        <w:spacing w:after="100"/>
        <w:ind w:left="0"/>
      </w:pPr>
      <w:r>
        <w:rPr>
          <w:b w:val="0"/>
        </w:rPr>
        <w:t>•  分享草稿不自动公开；减少动态与静音优先。新看板不塞入首批 HUD，徽章墙后置。</w:t>
      </w:r>
    </w:p>
    <w:p>
      <w:pPr>
        <w:spacing w:after="100"/>
        <w:ind w:left="0"/>
      </w:pPr>
      <w:r>
        <w:rPr>
          <w:b w:val="0"/>
        </w:rPr>
        <w:t>•  一素材两三句可完成听写、录音对比、语境收藏、复习与历史查看；未评估不作失败。</w:t>
      </w:r>
    </w:p>
    <w:p>
      <w:pPr>
        <w:spacing w:after="100"/>
        <w:ind w:left="0"/>
      </w:pPr>
      <w:r>
        <w:rPr>
          <w:b w:val="0"/>
        </w:rPr>
        <w:t>•  本文件是需求修订，未批准代码实施或全部优先级；v1.3 与静态 v22 保留。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v1.4 保留 v1.3 的 F01–F13，修正录制动作、实际导出和数据生命周期，补齐尝试、复习、评分与奖励规则。各版仍是需求方案，只有 static06 v22 静态基线已签收；本轮不改代码，也不批准全部实现或重排任务。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06，指已签收静态上的输入、保存、录制与关键学习闭环回归，不指先完成全部新增动态。日历、动态和配置仍分批，次序待确认。成绩、去重与调度规则在写正式数据前定版；视觉参数可在对应批次实测。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referenceVersion；切模式另建关联尝试，不能把两个模式混为一次。首批仍为听写与录音对比。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实际录音引用、所属尝试与原声片段；拒绝、取消、静音或无可用录音不算口语完成或口语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首版可用明示到期规则，具体间隔待定。任务保存稳定 reviewTaskId、来源 attempt、复习对象、参考版本和 dueAt；刷新或重复创建不复制待办。到期、通知和开任务不算学习；实际复测才追加事件及新 attempt，关联任务与 reviewInstance，并据结果更新安排。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仅录音且未评分保持原计划，可由用户选择自评并标自评来源，不能暗当答对或失败。任务创建与迁移不产生学习量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冻结练习计时并断段，降低动效；背景声淡出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收尾实际音频并关联尝试；失败不算口语完成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画面和音频以 stopRequestedAt 截止，编码不能后移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命令先冻结画面和音频截止点，再异步收尾；练习结束后仍接收原提交／录音结果，不改为跳过或新建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关闭确认时建立写入栅栏；在途自动保存于提交前复查，未提交者取消。关闭期仅当前内存流程，尝试、音频、待办和分享草稿不自动落盘；开启不追补。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删练习级联答案、评估及专属音频，取消失去依据的待办／草稿，重算统计并纠正奖励。删素材先确认仅媒体或连同关联记录，不能含糊级联。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按稳定业务身份合并，保留删除标记／水位，不复活已删除内容；无法核对删除谱系的旧备份不可普通合并。导入不重授。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栅栏写入成功才确认关闭；此后旧异步回调不得续写。已提交的历史保留，删除另操作。临时数据在离开当前流程时释放，不用持久缓存假装临时草稿。非学习的配置开关可单独保存，不夹带作答内容。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音频删除、练习删除、素材删除和清空各自先显示关联影响。删除标记只保留防止普通合并复活所需最少信息；谱系不可验证时拒绝普通合并。日志不含完整答案、令牌或媒体 URL 凭证；用户可仅导出汇总。关键保存与清理策略在正式数据写入前确认。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首批只做账本规则、档位设置和轻量结算。完整徽章墙、复杂动画和排行榜仍后置；已满足的成就在三档一致，展示方式可不同。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原始事件、实际尝试、任务完成和奖励资格分别去重。两个真实作答可同时留证，但同一个到期任务实例只完成一次，同一首次资格只授奖一次。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防重传；attemptId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学习者范围＋reviewTaskInstanceId／唯一项目标识确定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两标签不同 eventId，仍仅完成同一待办一次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重试沿用请求业务身份；未评估不当零分或完成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采用时校验 baseSelectionRevision，冲突重新预览；不按返回时间覆盖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只有录音未评分仍为未评估；不自动当成功或失败，调度保持原计划或由用户明确自评。实际尝试数与唯一项目／任务完成数分别命名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迁移关系和旧任务终态，重复打开不复制任务。删除唯一证据时取消相关草稿／待办并修正净贡献；普通备份合并不得重新授奖或恢复已删证据。完整恢复需要单独确认，只恢复原历史，不创造新的学习行为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06 回归与合同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静态已签收；输入、保存、独立录制动作和 attempt／奖励先回归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关键闭环规则定版，旧历史不被静默改写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F01–F13 目标继续有效；十主题、成就墙和 AI 不提前算完成，素材无字幕与录音不可用都有出口。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v1.3 增加 F11–F13 及最小教学闭环；F01–F10 全保留，个人中心看板不改变已收口 HUD。表中为建议执行顺序，不代表用户已批准全部实现或重新安排当前任务。本轮只修订文档，代码实施与具体批次仍待确认。</w:t>
      </w:r>
    </w:p>
    <w:p>
      <w:pPr>
        <w:pStyle w:val="Heading1"/>
        <w:pageBreakBefore/>
      </w:pPr>
      <w:r>
        <w:t>来源与查阅</w:t>
      </w:r>
    </w:p>
    <w:p>
      <w:r>
        <w:rPr>
          <w:b w:val="0"/>
        </w:rPr>
        <w:t>以下官方资料支持设计与技术判断；动效、分档和里程碑阈值均为产品建议，未冒充外部研究结论。</w:t>
      </w:r>
    </w:p>
    <w:p>
      <w:pPr>
        <w:spacing w:after="0" w:line="270" w:lineRule="exact"/>
      </w:pPr>
      <w:hyperlink r:id="rId10">
        <w:r>
          <w:rPr>
            <w:color w:val="215978"/>
            <w:sz w:val="20"/>
          </w:rPr>
          <w:t>[1] Motion 文档 MotionConfig 与减少动态</w:t>
        </w:r>
      </w:hyperlink>
    </w:p>
    <w:p>
      <w:pPr>
        <w:spacing w:after="0" w:line="270" w:lineRule="exact"/>
      </w:pPr>
      <w:hyperlink r:id="rId11">
        <w:r>
          <w:rPr>
            <w:color w:val="215978"/>
            <w:sz w:val="20"/>
          </w:rPr>
          <w:t>[2] Leva 官方仓库与 MIT 许可证</w:t>
        </w:r>
      </w:hyperlink>
    </w:p>
    <w:p>
      <w:pPr>
        <w:spacing w:after="0" w:line="270" w:lineRule="exact"/>
      </w:pPr>
      <w:hyperlink r:id="rId12">
        <w:r>
          <w:rPr>
            <w:color w:val="215978"/>
            <w:sz w:val="20"/>
          </w:rPr>
          <w:t>[3] Tweakpane 官方仓库与 MIT 许可证</w:t>
        </w:r>
      </w:hyperlink>
    </w:p>
    <w:p>
      <w:pPr>
        <w:spacing w:after="0" w:line="270" w:lineRule="exact"/>
      </w:pPr>
      <w:hyperlink r:id="rId13">
        <w:r>
          <w:rPr>
            <w:color w:val="215978"/>
            <w:sz w:val="20"/>
          </w:rPr>
          <w:t>[4] MDN InputEvent 输入事件</w:t>
        </w:r>
      </w:hyperlink>
    </w:p>
    <w:p>
      <w:pPr>
        <w:spacing w:after="0" w:line="270" w:lineRule="exact"/>
      </w:pPr>
      <w:hyperlink r:id="rId14">
        <w:r>
          <w:rPr>
            <w:color w:val="215978"/>
            <w:sz w:val="20"/>
          </w:rPr>
          <w:t>[5] MDN 自动播放与 Web Audio 限制</w:t>
        </w:r>
      </w:hyperlink>
    </w:p>
    <w:p>
      <w:pPr>
        <w:spacing w:after="0" w:line="270" w:lineRule="exact"/>
      </w:pPr>
      <w:hyperlink r:id="rId15">
        <w:r>
          <w:rPr>
            <w:color w:val="215978"/>
            <w:sz w:val="20"/>
          </w:rPr>
          <w:t>[6] W3C 动画交互可关闭要求</w:t>
        </w:r>
      </w:hyperlink>
    </w:p>
    <w:p>
      <w:pPr>
        <w:spacing w:after="0" w:line="270" w:lineRule="exact"/>
      </w:pPr>
      <w:hyperlink r:id="rId16">
        <w:r>
          <w:rPr>
            <w:color w:val="215978"/>
            <w:sz w:val="20"/>
          </w:rPr>
          <w:t>[7] MDN IndexedDB API</w:t>
        </w:r>
      </w:hyperlink>
    </w:p>
    <w:p>
      <w:pPr>
        <w:spacing w:after="0" w:line="270" w:lineRule="exact"/>
      </w:pPr>
      <w:hyperlink r:id="rId17">
        <w:r>
          <w:rPr>
            <w:color w:val="215978"/>
            <w:sz w:val="20"/>
          </w:rPr>
          <w:t>[8] MDN 浏览器存储配额与逐出规则</w:t>
        </w:r>
      </w:hyperlink>
    </w:p>
    <w:p>
      <w:pPr>
        <w:spacing w:after="0" w:line="270" w:lineRule="exact"/>
      </w:pPr>
      <w:hyperlink r:id="rId18">
        <w:r>
          <w:rPr>
            <w:color w:val="215978"/>
            <w:sz w:val="20"/>
          </w:rPr>
          <w:t>[9] MDN Page Visibility API</w:t>
        </w:r>
      </w:hyperlink>
    </w:p>
    <w:p>
      <w:pPr>
        <w:spacing w:after="0" w:line="270" w:lineRule="exact"/>
      </w:pPr>
      <w:hyperlink r:id="rId19">
        <w:r>
          <w:rPr>
            <w:color w:val="215978"/>
            <w:sz w:val="20"/>
          </w:rPr>
          <w:t>[10] MDN performance now 单调时钟</w:t>
        </w:r>
      </w:hyperlink>
    </w:p>
    <w:p>
      <w:pPr>
        <w:spacing w:after="0" w:line="270" w:lineRule="exact"/>
      </w:pPr>
      <w:hyperlink r:id="rId20">
        <w:r>
          <w:rPr>
            <w:color w:val="215978"/>
            <w:sz w:val="20"/>
          </w:rPr>
          <w:t>[11] Monkeytype 官方数据接口</w:t>
        </w:r>
      </w:hyperlink>
    </w:p>
    <w:p>
      <w:pPr>
        <w:spacing w:after="0" w:line="270" w:lineRule="exact"/>
      </w:pPr>
      <w:hyperlink r:id="rId21">
        <w:r>
          <w:rPr>
            <w:color w:val="215978"/>
            <w:sz w:val="20"/>
          </w:rPr>
          <w:t>[12] Keybr 官方项目与练习目标</w:t>
        </w:r>
      </w:hyperlink>
    </w:p>
    <w:p>
      <w:pPr>
        <w:spacing w:after="0" w:line="270" w:lineRule="exact"/>
      </w:pPr>
      <w:hyperlink r:id="rId22">
        <w:r>
          <w:rPr>
            <w:color w:val="215978"/>
            <w:sz w:val="20"/>
          </w:rPr>
          <w:t>[13] Duolingo 学习成效研究框架</w:t>
        </w:r>
      </w:hyperlink>
    </w:p>
    <w:p>
      <w:pPr>
        <w:spacing w:after="0" w:line="270" w:lineRule="exact"/>
      </w:pPr>
      <w:hyperlink r:id="rId23">
        <w:r>
          <w:rPr>
            <w:color w:val="215978"/>
            <w:sz w:val="20"/>
          </w:rPr>
          <w:t>[14] MDN Web Audio 输出音轨</w:t>
        </w:r>
      </w:hyperlink>
    </w:p>
    <w:p>
      <w:pPr>
        <w:spacing w:after="0" w:line="270" w:lineRule="exact"/>
      </w:pPr>
      <w:hyperlink r:id="rId24">
        <w:r>
          <w:rPr>
            <w:color w:val="215978"/>
            <w:sz w:val="20"/>
          </w:rPr>
          <w:t>[15] W3C 最低文字对比度</w:t>
        </w:r>
      </w:hyperlink>
    </w:p>
    <w:p>
      <w:pPr>
        <w:spacing w:after="0" w:line="270" w:lineRule="exact"/>
      </w:pPr>
      <w:hyperlink r:id="rId25">
        <w:r>
          <w:rPr>
            <w:color w:val="215978"/>
            <w:sz w:val="20"/>
          </w:rPr>
          <w:t>[16] W3C 非文字对比度</w:t>
        </w:r>
      </w:hyperlink>
    </w:p>
    <w:p>
      <w:pPr>
        <w:spacing w:after="0" w:line="270" w:lineRule="exact"/>
      </w:pPr>
      <w:hyperlink r:id="rId26">
        <w:r>
          <w:rPr>
            <w:color w:val="215978"/>
            <w:sz w:val="20"/>
          </w:rPr>
          <w:t>[17] DTCG 2025.10 颜色变量格式</w:t>
        </w:r>
      </w:hyperlink>
    </w:p>
    <w:p>
      <w:pPr>
        <w:spacing w:after="0" w:line="270" w:lineRule="exact"/>
      </w:pPr>
      <w:hyperlink r:id="rId27">
        <w:r>
          <w:rPr>
            <w:color w:val="215978"/>
            <w:sz w:val="20"/>
          </w:rPr>
          <w:t>[18] Zod JSON Schema 支持</w:t>
        </w:r>
      </w:hyperlink>
    </w:p>
    <w:p>
      <w:pPr>
        <w:spacing w:after="0" w:line="270" w:lineRule="exact"/>
      </w:pPr>
      <w:hyperlink r:id="rId28">
        <w:r>
          <w:rPr>
            <w:color w:val="215978"/>
            <w:sz w:val="20"/>
          </w:rPr>
          <w:t>[19] Color.js 对比度计算</w:t>
        </w:r>
      </w:hyperlink>
    </w:p>
    <w:p>
      <w:pPr>
        <w:spacing w:after="0" w:line="270" w:lineRule="exact"/>
      </w:pPr>
      <w:hyperlink r:id="rId29">
        <w:r>
          <w:rPr>
            <w:color w:val="215978"/>
            <w:sz w:val="20"/>
          </w:rPr>
          <w:t>[20] GSAP Standard License</w:t>
        </w:r>
      </w:hyperlink>
    </w:p>
    <w:p>
      <w:pPr>
        <w:spacing w:after="0" w:line="270" w:lineRule="exact"/>
      </w:pPr>
      <w:hyperlink r:id="rId30">
        <w:r>
          <w:rPr>
            <w:color w:val="215978"/>
            <w:sz w:val="20"/>
          </w:rPr>
          <w:t>[21] Rive 套餐与导出约束</w:t>
        </w:r>
      </w:hyperlink>
    </w:p>
    <w:p>
      <w:pPr>
        <w:spacing w:after="0" w:line="270" w:lineRule="exact"/>
      </w:pPr>
      <w:hyperlink r:id="rId31">
        <w:r>
          <w:rPr>
            <w:color w:val="215978"/>
            <w:sz w:val="20"/>
          </w:rPr>
          <w:t>[22] MDN Canvas 捕获画面</w:t>
        </w:r>
      </w:hyperlink>
    </w:p>
    <w:p>
      <w:pPr>
        <w:spacing w:after="0" w:line="270" w:lineRule="exact"/>
      </w:pPr>
      <w:hyperlink r:id="rId32">
        <w:r>
          <w:rPr>
            <w:color w:val="215978"/>
            <w:sz w:val="20"/>
          </w:rPr>
          <w:t>[23] Zwift 训练 HUD 与目标区间</w:t>
        </w:r>
      </w:hyperlink>
    </w:p>
    <w:p>
      <w:pPr>
        <w:spacing w:after="0" w:line="270" w:lineRule="exact"/>
      </w:pPr>
      <w:hyperlink r:id="rId33">
        <w:r>
          <w:rPr>
            <w:color w:val="215978"/>
            <w:sz w:val="20"/>
          </w:rPr>
          <w:t>[24] MDN 视频帧回调与调度</w:t>
        </w:r>
      </w:hyperlink>
    </w:p>
    <w:p>
      <w:pPr>
        <w:spacing w:after="0" w:line="270" w:lineRule="exact"/>
      </w:pPr>
      <w:hyperlink r:id="rId34">
        <w:r>
          <w:rPr>
            <w:color w:val="215978"/>
            <w:sz w:val="20"/>
          </w:rPr>
          <w:t>[25] MDN 跨域图片与画布限制</w:t>
        </w:r>
      </w:hyperlink>
    </w:p>
    <w:p>
      <w:pPr>
        <w:spacing w:after="0" w:line="270" w:lineRule="exact"/>
      </w:pPr>
      <w:hyperlink r:id="rId35">
        <w:r>
          <w:rPr>
            <w:color w:val="215978"/>
            <w:sz w:val="20"/>
          </w:rPr>
          <w:t>[26] YouTube iframe API</w:t>
        </w:r>
      </w:hyperlink>
    </w:p>
    <w:p>
      <w:pPr>
        <w:spacing w:after="0" w:line="270" w:lineRule="exact"/>
      </w:pPr>
      <w:hyperlink r:id="rId36">
        <w:r>
          <w:rPr>
            <w:color w:val="215978"/>
            <w:sz w:val="20"/>
          </w:rPr>
          <w:t>[27] W3C 受保护媒体的数据读取限制</w:t>
        </w:r>
      </w:hyperlink>
    </w:p>
    <w:p>
      <w:pPr>
        <w:spacing w:after="0" w:line="270" w:lineRule="exact"/>
      </w:pPr>
      <w:hyperlink r:id="rId37">
        <w:r>
          <w:rPr>
            <w:color w:val="215978"/>
            <w:sz w:val="20"/>
          </w:rPr>
          <w:t>[28] Color Thief 视频与实时取色 API</w:t>
        </w:r>
      </w:hyperlink>
    </w:p>
    <w:p>
      <w:pPr>
        <w:spacing w:after="0" w:line="270" w:lineRule="exact"/>
      </w:pPr>
      <w:hyperlink r:id="rId38">
        <w:r>
          <w:rPr>
            <w:color w:val="215978"/>
            <w:sz w:val="20"/>
          </w:rPr>
          <w:t>[29] Immer 补丁与逆向补丁</w:t>
        </w:r>
      </w:hyperlink>
    </w:p>
    <w:p>
      <w:pPr>
        <w:spacing w:after="0" w:line="270" w:lineRule="exact"/>
      </w:pPr>
      <w:hyperlink r:id="rId39">
        <w:r>
          <w:rPr>
            <w:color w:val="215978"/>
            <w:sz w:val="20"/>
          </w:rPr>
          <w:t>[30] MDN 同源策略</w:t>
        </w:r>
      </w:hyperlink>
    </w:p>
    <w:p>
      <w:pPr>
        <w:spacing w:after="0" w:line="270" w:lineRule="exact"/>
      </w:pPr>
      <w:hyperlink r:id="rId40">
        <w:r>
          <w:rPr>
            <w:color w:val="215978"/>
            <w:sz w:val="20"/>
          </w:rPr>
          <w:t>[31] YouTube 环境模式设计参考</w:t>
        </w:r>
      </w:hyperlink>
    </w:p>
    <w:p>
      <w:pPr>
        <w:spacing w:after="0" w:line="270" w:lineRule="exact"/>
      </w:pPr>
      <w:hyperlink r:id="rId41">
        <w:r>
          <w:rPr>
            <w:color w:val="215978"/>
            <w:sz w:val="20"/>
          </w:rPr>
          <w:t>[32] MDN Canvas 上下文与频繁读取选项</w:t>
        </w:r>
      </w:hyperlink>
    </w:p>
    <w:p>
      <w:pPr>
        <w:spacing w:after="0" w:line="270" w:lineRule="exact"/>
      </w:pPr>
      <w:hyperlink r:id="rId42">
        <w:r>
          <w:rPr>
            <w:color w:val="215978"/>
            <w:sz w:val="20"/>
          </w:rPr>
          <w:t>[33] Fast Average Color 官方项目与许可</w:t>
        </w:r>
      </w:hyperlink>
    </w:p>
    <w:p>
      <w:pPr>
        <w:spacing w:after="0" w:line="270" w:lineRule="exact"/>
      </w:pPr>
      <w:hyperlink r:id="rId43">
        <w:r>
          <w:rPr>
            <w:color w:val="215978"/>
            <w:sz w:val="20"/>
          </w:rPr>
          <w:t>[34] GitHub 贡献活动的统计范围</w:t>
        </w:r>
      </w:hyperlink>
    </w:p>
    <w:p>
      <w:pPr>
        <w:spacing w:after="0" w:line="270" w:lineRule="exact"/>
      </w:pPr>
      <w:hyperlink r:id="rId44">
        <w:r>
          <w:rPr>
            <w:color w:val="215978"/>
            <w:sz w:val="20"/>
          </w:rPr>
          <w:t>[35] GitHub 日历与日期范围交互</w:t>
        </w:r>
      </w:hyperlink>
    </w:p>
    <w:p>
      <w:pPr>
        <w:spacing w:after="0" w:line="270" w:lineRule="exact"/>
      </w:pPr>
      <w:hyperlink r:id="rId45">
        <w:r>
          <w:rPr>
            <w:color w:val="215978"/>
            <w:sz w:val="20"/>
          </w:rPr>
          <w:t>[36] react activity calendar 官方组件</w:t>
        </w:r>
      </w:hyperlink>
    </w:p>
    <w:p>
      <w:pPr>
        <w:spacing w:after="0" w:line="270" w:lineRule="exact"/>
      </w:pPr>
      <w:hyperlink r:id="rId46">
        <w:r>
          <w:rPr>
            <w:color w:val="215978"/>
            <w:sz w:val="20"/>
          </w:rPr>
          <w:t>[37] Nivo Calendar 官方组件</w:t>
        </w:r>
      </w:hyperlink>
    </w:p>
    <w:p>
      <w:pPr>
        <w:spacing w:after="0" w:line="270" w:lineRule="exact"/>
      </w:pPr>
      <w:hyperlink r:id="rId47">
        <w:r>
          <w:rPr>
            <w:color w:val="215978"/>
            <w:sz w:val="20"/>
          </w:rPr>
          <w:t>[38] W3C Web Share 规范</w:t>
        </w:r>
      </w:hyperlink>
    </w:p>
    <w:p>
      <w:pPr>
        <w:spacing w:after="0" w:line="270" w:lineRule="exact"/>
      </w:pPr>
      <w:hyperlink r:id="rId48">
        <w:r>
          <w:rPr>
            <w:color w:val="215978"/>
            <w:sz w:val="20"/>
          </w:rPr>
          <w:t>[39] W3C 暂停停止隐藏要求</w:t>
        </w:r>
      </w:hyperlink>
    </w:p>
    <w:p>
      <w:pPr>
        <w:spacing w:after="0" w:line="270" w:lineRule="exact"/>
      </w:pPr>
      <w:hyperlink r:id="rId49">
        <w:r>
          <w:rPr>
            <w:color w:val="215978"/>
            <w:sz w:val="20"/>
          </w:rPr>
          <w:t>[40] W3C 状态消息与辅助技术</w:t>
        </w:r>
      </w:hyperlink>
    </w:p>
    <w:p>
      <w:pPr>
        <w:spacing w:after="0" w:line="270" w:lineRule="exact"/>
      </w:pPr>
      <w:hyperlink r:id="rId50">
        <w:r>
          <w:rPr>
            <w:color w:val="215978"/>
            <w:sz w:val="20"/>
          </w:rPr>
          <w:t>[41] Duolingo 课程进度与活动分数</w:t>
        </w:r>
      </w:hyperlink>
    </w:p>
    <w:p>
      <w:pPr>
        <w:spacing w:after="0" w:line="270" w:lineRule="exact"/>
      </w:pPr>
      <w:hyperlink r:id="rId51">
        <w:r>
          <w:rPr>
            <w:color w:val="215978"/>
            <w:sz w:val="20"/>
          </w:rPr>
          <w:t>[42] EchoType 官方仓库与许可</w:t>
        </w:r>
      </w:hyperlink>
    </w:p>
    <w:p>
      <w:pPr>
        <w:spacing w:after="0" w:line="270" w:lineRule="exact"/>
      </w:pPr>
      <w:hyperlink r:id="rId52">
        <w:r>
          <w:rPr>
            <w:color w:val="215978"/>
            <w:sz w:val="20"/>
          </w:rPr>
          <w:t>[43] TypeWords 官方仓库与许可</w:t>
        </w:r>
      </w:hyperlink>
    </w:p>
    <w:p>
      <w:pPr>
        <w:spacing w:after="0" w:line="270" w:lineRule="exact"/>
      </w:pPr>
      <w:hyperlink r:id="rId53">
        <w:r>
          <w:rPr>
            <w:color w:val="215978"/>
            <w:sz w:val="20"/>
          </w:rPr>
          <w:t>[44] asbplayer 官方仓库与许可</w:t>
        </w:r>
      </w:hyperlink>
    </w:p>
    <w:p>
      <w:pPr>
        <w:spacing w:after="0" w:line="270" w:lineRule="exact"/>
      </w:pPr>
      <w:hyperlink r:id="rId54">
        <w:r>
          <w:rPr>
            <w:color w:val="215978"/>
            <w:sz w:val="20"/>
          </w:rPr>
          <w:t>[45] ts fsrs 官方仓库与许可</w:t>
        </w:r>
      </w:hyperlink>
    </w:p>
    <w:p>
      <w:pPr>
        <w:spacing w:after="0" w:line="270" w:lineRule="exact"/>
      </w:pPr>
      <w:hyperlink r:id="rId55">
        <w:r>
          <w:rPr>
            <w:color w:val="215978"/>
            <w:sz w:val="20"/>
          </w:rPr>
          <w:t>[46] MDN Canvas captureStream 安全限制</w:t>
        </w:r>
      </w:hyperlink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规划建议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