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>2026 年 10 月 8 日  版本 1.4.3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>•  F02 状态动效：每次进页浅绿持续待机蓄力，首次真实 committed 编辑转训练色；输入、加载与进退场反馈分层，趋势线后续增量。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分层验收：展示、待机与细线播放器、数据、课程、日历卡片和十套皮肤分别验收；当前仅文档修订，实施暂停。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>•  表现与事实分开：待机蓄力、游标回弹不改成绩、历史或真实播放时间；首次编辑切色不清空练习。CPM 与视觉能量分开，错标应修代码，不能降低本 PRD 指标要求。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代码已写、隔离验证、产品接入、已发布和验收通过分别给证据；按执行规则每半小时对照代码与 PRD 并审查 PRD 合理性。冻结期间只读核对与文档纠错，不恢复开发或发布。</w:t>
      </w:r>
    </w:p>
    <w:p>
      <w:r>
        <w:t>•  F01–F14 不删减；v1.4.1 数据合同与 v1.4.2 指定展示补充继续有效。迁移、引擎切换、刷新续练写许可和旧数据兼容实施方案仍待讨论，不能从本稿推定已批准。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