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8F0" w:rsidRPr="006529A1" w:rsidRDefault="005C78F0" w:rsidP="005C78F0">
      <w:pPr>
        <w:spacing w:line="360" w:lineRule="auto"/>
        <w:rPr>
          <w:b/>
          <w:color w:val="0070C0"/>
        </w:rPr>
      </w:pPr>
      <w:r w:rsidRPr="006529A1">
        <w:rPr>
          <w:b/>
          <w:color w:val="0070C0"/>
        </w:rPr>
        <w:t>FIGURE LEGENDS</w:t>
      </w:r>
    </w:p>
    <w:p w:rsidR="005C78F0" w:rsidRDefault="005C78F0" w:rsidP="005C78F0">
      <w:pPr>
        <w:spacing w:line="480" w:lineRule="auto"/>
      </w:pPr>
      <w:proofErr w:type="gramStart"/>
      <w:r w:rsidRPr="00B86F2D">
        <w:rPr>
          <w:b/>
        </w:rPr>
        <w:t>Figure 1.</w:t>
      </w:r>
      <w:proofErr w:type="gramEnd"/>
      <w:r>
        <w:t xml:space="preserve">  </w:t>
      </w:r>
      <w:proofErr w:type="gramStart"/>
      <w:r>
        <w:t>International variation in adult (ages 20-79 years) leukemia incidence rates per 100,000 person-years (age-adjusted, 1960 world standard) by continent, registry, and sex.</w:t>
      </w:r>
      <w:proofErr w:type="gramEnd"/>
      <w:r>
        <w:t xml:space="preserve">  </w:t>
      </w:r>
      <w:proofErr w:type="gramStart"/>
      <w:r>
        <w:t>Four specific cell types, circa 2003-2007.</w:t>
      </w:r>
      <w:proofErr w:type="gramEnd"/>
      <w:r>
        <w:t xml:space="preserve">  (</w:t>
      </w:r>
      <w:r>
        <w:rPr>
          <w:i/>
        </w:rPr>
        <w:t>Source</w:t>
      </w:r>
      <w:r w:rsidR="00923C75">
        <w:t xml:space="preserve">: Forman D et al.  </w:t>
      </w:r>
      <w:proofErr w:type="gramStart"/>
      <w:r w:rsidRPr="00496A1C">
        <w:t>Cancer Incidence in Five Continents, vol. 10.</w:t>
      </w:r>
      <w:proofErr w:type="gramEnd"/>
      <w:r w:rsidRPr="00496A1C">
        <w:t xml:space="preserve"> Lyon, France: IARC Scientific Publication Number 164, 2014.)</w:t>
      </w:r>
    </w:p>
    <w:p w:rsidR="00662E58" w:rsidRPr="00496A1C" w:rsidRDefault="00662E58" w:rsidP="005C78F0">
      <w:pPr>
        <w:spacing w:line="480" w:lineRule="auto"/>
      </w:pPr>
    </w:p>
    <w:p w:rsidR="005C78F0" w:rsidRDefault="005C78F0" w:rsidP="005C78F0">
      <w:pPr>
        <w:spacing w:line="480" w:lineRule="auto"/>
      </w:pPr>
      <w:proofErr w:type="gramStart"/>
      <w:r w:rsidRPr="00496A1C">
        <w:rPr>
          <w:b/>
        </w:rPr>
        <w:t>Figure 2.</w:t>
      </w:r>
      <w:proofErr w:type="gramEnd"/>
      <w:r w:rsidRPr="00496A1C">
        <w:t xml:space="preserve">  U.S. trends in adult (</w:t>
      </w:r>
      <w:r w:rsidRPr="00496A1C">
        <w:rPr>
          <w:u w:val="single"/>
        </w:rPr>
        <w:t>&gt;</w:t>
      </w:r>
      <w:r w:rsidRPr="00496A1C">
        <w:t xml:space="preserve">20 years) leukemia incidence (age-adjusted, 2000 U.S. standard population) by race for total leukemia and by leukemia subtype in nine cancer registry areas of the Surveillance, Epidemiology and End Results (SEER) program (SEER-9), 1973-2012, and thirteen cancer registry areas of the SEER </w:t>
      </w:r>
      <w:r>
        <w:t>P</w:t>
      </w:r>
      <w:r w:rsidRPr="00496A1C">
        <w:t>rogram (SEER-13), 1993-2012.  (</w:t>
      </w:r>
      <w:r w:rsidRPr="00496A1C">
        <w:rPr>
          <w:i/>
        </w:rPr>
        <w:t>Source</w:t>
      </w:r>
      <w:r w:rsidRPr="00496A1C">
        <w:t xml:space="preserve">:  1) Surveillance, Epidemiology, and End Results (SEER) Program (www.seer.cancer.gov) SEER*Stat Database: Incidence - SEER 9 </w:t>
      </w:r>
      <w:proofErr w:type="spellStart"/>
      <w:r w:rsidRPr="00496A1C">
        <w:t>Regs</w:t>
      </w:r>
      <w:proofErr w:type="spellEnd"/>
      <w:r w:rsidRPr="00496A1C">
        <w:t xml:space="preserve"> Research Data, Nov 2014 Sub (1973-2012) &lt;Katrina/Rita Population Adjustment&gt; - Linked To County Attributes - Total U.S., 1969-2013 Counties, National Cancer Institute, DCCPS, Surveillance Research Program, Surveillance Systems Branch, released April 2015, based on the November 2014 submission. 2) Surveillance, Epidemiology, and End Results (SEER) Program (www.seer.cancer.gov) SEER*Stat Database: Incidence - SEER 13 </w:t>
      </w:r>
      <w:proofErr w:type="spellStart"/>
      <w:r w:rsidRPr="00496A1C">
        <w:t>Regs</w:t>
      </w:r>
      <w:proofErr w:type="spellEnd"/>
      <w:r w:rsidRPr="00496A1C">
        <w:t xml:space="preserve"> Research Data, Nov 2014 Sub (1992-2012) &lt;Katrina/Rita Population Adjustment&gt; - Linked To County Attributes - Total U.S., 1969-2013 Counties, National Cancer Institute, DCCPS, Surveillance Research Program, Surveillance Systems Branch, released April 2015, based on the November 2014 submission.)</w:t>
      </w:r>
    </w:p>
    <w:p w:rsidR="005C78F0" w:rsidRDefault="005C78F0" w:rsidP="005C78F0">
      <w:pPr>
        <w:spacing w:line="480" w:lineRule="auto"/>
      </w:pPr>
    </w:p>
    <w:p w:rsidR="005C78F0" w:rsidRDefault="005C78F0" w:rsidP="005C78F0">
      <w:pPr>
        <w:spacing w:line="480" w:lineRule="auto"/>
      </w:pPr>
      <w:proofErr w:type="gramStart"/>
      <w:r w:rsidRPr="009D5FEE">
        <w:rPr>
          <w:b/>
        </w:rPr>
        <w:t>Figure 3.</w:t>
      </w:r>
      <w:proofErr w:type="gramEnd"/>
      <w:r>
        <w:t xml:space="preserve">  Age-specific incidence rates of acute myeloid leukemia, myelodysplastic syndromes, and myeloproliferative neoplasms diagnosed among adults (</w:t>
      </w:r>
      <w:r w:rsidRPr="00A50DAB">
        <w:rPr>
          <w:u w:val="single"/>
        </w:rPr>
        <w:t>&gt;</w:t>
      </w:r>
      <w:r>
        <w:t xml:space="preserve">20 years) in 18 cancer registry areas of the Surveillance, Epidemiology and End Results program in the U.S. according to </w:t>
      </w:r>
      <w:r>
        <w:lastRenderedPageBreak/>
        <w:t>subtype and sex, 2001-2012.  (</w:t>
      </w:r>
      <w:r w:rsidRPr="00496A1C">
        <w:rPr>
          <w:i/>
        </w:rPr>
        <w:t>Source</w:t>
      </w:r>
      <w:r w:rsidRPr="00496A1C">
        <w:t xml:space="preserve">: Surveillance, Epidemiology, and End Results (SEER) Program (www.seer.cancer.gov) SEER*Stat Database: Incidence - SEER 18 </w:t>
      </w:r>
      <w:proofErr w:type="spellStart"/>
      <w:r w:rsidRPr="00496A1C">
        <w:t>Regs</w:t>
      </w:r>
      <w:proofErr w:type="spellEnd"/>
      <w:r w:rsidRPr="00496A1C">
        <w:t xml:space="preserve"> Research Data + Hurricane Katrina Impacted Louisiana Cases, Nov 2014 Sub (2000-2012) &lt;Katrina/Rita Population Adjustment&gt; - Linked To County Attributes - Total U.S., 1969-2013 Counties, National Cancer Institute, DCCPS, Surveillance Research Program, Surveillance Systems Branch, released April 2015, based on the November 2014 submission.)</w:t>
      </w:r>
    </w:p>
    <w:p w:rsidR="005C78F0" w:rsidRDefault="005C78F0" w:rsidP="005C78F0">
      <w:pPr>
        <w:spacing w:line="480" w:lineRule="auto"/>
      </w:pPr>
    </w:p>
    <w:p w:rsidR="005C78F0" w:rsidRPr="009D0E0E" w:rsidRDefault="005C78F0" w:rsidP="009D0E0E">
      <w:pPr>
        <w:spacing w:line="480" w:lineRule="auto"/>
      </w:pPr>
      <w:proofErr w:type="gramStart"/>
      <w:r w:rsidRPr="00B86F2D">
        <w:rPr>
          <w:b/>
        </w:rPr>
        <w:t>Figure 4.</w:t>
      </w:r>
      <w:proofErr w:type="gramEnd"/>
      <w:r>
        <w:t xml:space="preserve">  Five-year relative survival rates for adult (</w:t>
      </w:r>
      <w:r w:rsidRPr="00A50DAB">
        <w:rPr>
          <w:u w:val="single"/>
        </w:rPr>
        <w:t>&gt;</w:t>
      </w:r>
      <w:r>
        <w:t>20 years) patients diagnosed with acute myeloid leukemia, myelodysplastic syndromes, and myeloproliferative neoplasms diagnosed in 18 cancer registry areas of the Surveillance, Epidemiology and End Results program in the U.S. according to subtype, age, and sex, 2001-2011 and followed through 2012.  (</w:t>
      </w:r>
      <w:r>
        <w:rPr>
          <w:i/>
        </w:rPr>
        <w:t>Source</w:t>
      </w:r>
      <w:r>
        <w:t>:</w:t>
      </w:r>
      <w:r w:rsidRPr="00E86350">
        <w:t xml:space="preserve"> Surveillance, Epidemiology, and End Results (SEER) Program (www.seer.cancer.gov) SEER*Stat Database: Incidence - SEER 18 </w:t>
      </w:r>
      <w:proofErr w:type="spellStart"/>
      <w:r w:rsidRPr="00E86350">
        <w:t>Regs</w:t>
      </w:r>
      <w:proofErr w:type="spellEnd"/>
      <w:r w:rsidRPr="00E86350">
        <w:t xml:space="preserve"> Research Data + Hurricane Katrina Impacted Louisiana Cases, Nov 2014 Sub (1973-2012 varying) - Linked To County Attributes - Total U.S., 1969-2013 Counties, National Cancer Institute, DCCPS, Surveillance Research Program, Surveillance Systems Branch, released April 2015, based on the November 2014 submission.</w:t>
      </w:r>
      <w:r>
        <w:t>)</w:t>
      </w:r>
      <w:r>
        <w:fldChar w:fldCharType="begin"/>
      </w:r>
      <w:r>
        <w:instrText xml:space="preserve"> ADDIN EN.REFLIST </w:instrText>
      </w:r>
      <w:r>
        <w:fldChar w:fldCharType="end"/>
      </w:r>
    </w:p>
    <w:p w:rsidR="0063094E" w:rsidRDefault="0063094E" w:rsidP="005C78F0">
      <w:pPr>
        <w:spacing w:after="200" w:line="276" w:lineRule="auto"/>
        <w:rPr>
          <w:rFonts w:asciiTheme="minorHAnsi" w:hAnsiTheme="minorHAnsi"/>
          <w:sz w:val="28"/>
          <w:szCs w:val="28"/>
        </w:rPr>
        <w:sectPr w:rsidR="0063094E" w:rsidSect="00D6535E">
          <w:pgSz w:w="12240" w:h="15840"/>
          <w:pgMar w:top="1440" w:right="1440" w:bottom="1440" w:left="1440" w:header="720" w:footer="720" w:gutter="0"/>
          <w:lnNumType w:countBy="1"/>
          <w:cols w:space="720"/>
          <w:docGrid w:linePitch="360"/>
        </w:sectPr>
      </w:pPr>
    </w:p>
    <w:p w:rsidR="00F06E25" w:rsidRDefault="00F06E25">
      <w:bookmarkStart w:id="0" w:name="_GoBack"/>
      <w:r>
        <w:rPr>
          <w:noProof/>
        </w:rPr>
        <w:lastRenderedPageBreak/>
        <w:drawing>
          <wp:inline distT="0" distB="0" distL="0" distR="0" wp14:anchorId="537EBE38" wp14:editId="405440F6">
            <wp:extent cx="5943600" cy="416618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C8734.tmp"/>
                    <pic:cNvPicPr/>
                  </pic:nvPicPr>
                  <pic:blipFill>
                    <a:blip r:embed="rId5">
                      <a:extLst>
                        <a:ext uri="{28A0092B-C50C-407E-A947-70E740481C1C}">
                          <a14:useLocalDpi xmlns:a14="http://schemas.microsoft.com/office/drawing/2010/main" val="0"/>
                        </a:ext>
                      </a:extLst>
                    </a:blip>
                    <a:stretch>
                      <a:fillRect/>
                    </a:stretch>
                  </pic:blipFill>
                  <pic:spPr>
                    <a:xfrm>
                      <a:off x="0" y="0"/>
                      <a:ext cx="5943600" cy="4166184"/>
                    </a:xfrm>
                    <a:prstGeom prst="rect">
                      <a:avLst/>
                    </a:prstGeom>
                  </pic:spPr>
                </pic:pic>
              </a:graphicData>
            </a:graphic>
          </wp:inline>
        </w:drawing>
      </w:r>
      <w:bookmarkEnd w:id="0"/>
    </w:p>
    <w:p w:rsidR="00F06E25" w:rsidRDefault="00F06E25">
      <w:pPr>
        <w:spacing w:after="200" w:line="276" w:lineRule="auto"/>
      </w:pPr>
      <w:r>
        <w:br w:type="page"/>
      </w:r>
    </w:p>
    <w:p w:rsidR="00F06E25" w:rsidRDefault="00F06E25">
      <w:r>
        <w:rPr>
          <w:noProof/>
        </w:rPr>
        <w:lastRenderedPageBreak/>
        <w:drawing>
          <wp:inline distT="0" distB="0" distL="0" distR="0" wp14:anchorId="233ECB0B" wp14:editId="3B001DCB">
            <wp:extent cx="5502303" cy="796758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C1A61.tmp"/>
                    <pic:cNvPicPr/>
                  </pic:nvPicPr>
                  <pic:blipFill>
                    <a:blip r:embed="rId6">
                      <a:extLst>
                        <a:ext uri="{28A0092B-C50C-407E-A947-70E740481C1C}">
                          <a14:useLocalDpi xmlns:a14="http://schemas.microsoft.com/office/drawing/2010/main" val="0"/>
                        </a:ext>
                      </a:extLst>
                    </a:blip>
                    <a:stretch>
                      <a:fillRect/>
                    </a:stretch>
                  </pic:blipFill>
                  <pic:spPr>
                    <a:xfrm>
                      <a:off x="0" y="0"/>
                      <a:ext cx="5502303" cy="7967580"/>
                    </a:xfrm>
                    <a:prstGeom prst="rect">
                      <a:avLst/>
                    </a:prstGeom>
                  </pic:spPr>
                </pic:pic>
              </a:graphicData>
            </a:graphic>
          </wp:inline>
        </w:drawing>
      </w:r>
    </w:p>
    <w:p w:rsidR="00F06E25" w:rsidRDefault="00F06E25">
      <w:pPr>
        <w:spacing w:after="200" w:line="276" w:lineRule="auto"/>
      </w:pPr>
      <w:r>
        <w:br w:type="page"/>
      </w:r>
    </w:p>
    <w:p w:rsidR="00F06E25" w:rsidRDefault="00F06E25">
      <w:r>
        <w:rPr>
          <w:noProof/>
        </w:rPr>
        <w:lastRenderedPageBreak/>
        <w:drawing>
          <wp:inline distT="0" distB="0" distL="0" distR="0" wp14:anchorId="7FBD32D4" wp14:editId="1853EC13">
            <wp:extent cx="5931673" cy="56217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C3763.tmp"/>
                    <pic:cNvPicPr/>
                  </pic:nvPicPr>
                  <pic:blipFill>
                    <a:blip r:embed="rId7">
                      <a:extLst>
                        <a:ext uri="{28A0092B-C50C-407E-A947-70E740481C1C}">
                          <a14:useLocalDpi xmlns:a14="http://schemas.microsoft.com/office/drawing/2010/main" val="0"/>
                        </a:ext>
                      </a:extLst>
                    </a:blip>
                    <a:stretch>
                      <a:fillRect/>
                    </a:stretch>
                  </pic:blipFill>
                  <pic:spPr>
                    <a:xfrm>
                      <a:off x="0" y="0"/>
                      <a:ext cx="5936941" cy="5626774"/>
                    </a:xfrm>
                    <a:prstGeom prst="rect">
                      <a:avLst/>
                    </a:prstGeom>
                  </pic:spPr>
                </pic:pic>
              </a:graphicData>
            </a:graphic>
          </wp:inline>
        </w:drawing>
      </w:r>
    </w:p>
    <w:p w:rsidR="00F06E25" w:rsidRDefault="00F06E25">
      <w:pPr>
        <w:spacing w:after="200" w:line="276" w:lineRule="auto"/>
      </w:pPr>
      <w:r>
        <w:br w:type="page"/>
      </w:r>
    </w:p>
    <w:p w:rsidR="006F780D" w:rsidRDefault="00F06E25">
      <w:r>
        <w:rPr>
          <w:rFonts w:asciiTheme="minorHAnsi" w:hAnsiTheme="minorHAnsi"/>
          <w:noProof/>
          <w:sz w:val="28"/>
          <w:szCs w:val="28"/>
        </w:rPr>
        <w:lastRenderedPageBreak/>
        <w:drawing>
          <wp:inline distT="0" distB="0" distL="0" distR="0" wp14:anchorId="12DD99E7" wp14:editId="5A65E26C">
            <wp:extent cx="5943600" cy="452868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CCDAA.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528688"/>
                    </a:xfrm>
                    <a:prstGeom prst="rect">
                      <a:avLst/>
                    </a:prstGeom>
                  </pic:spPr>
                </pic:pic>
              </a:graphicData>
            </a:graphic>
          </wp:inline>
        </w:drawing>
      </w:r>
    </w:p>
    <w:sectPr w:rsidR="006F780D" w:rsidSect="00611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BEB"/>
    <w:rsid w:val="00047DBA"/>
    <w:rsid w:val="00121AD6"/>
    <w:rsid w:val="00143716"/>
    <w:rsid w:val="002036E1"/>
    <w:rsid w:val="00222BEB"/>
    <w:rsid w:val="0030530B"/>
    <w:rsid w:val="00471B4B"/>
    <w:rsid w:val="00507809"/>
    <w:rsid w:val="005C78F0"/>
    <w:rsid w:val="00611C26"/>
    <w:rsid w:val="0063094E"/>
    <w:rsid w:val="00662E58"/>
    <w:rsid w:val="007727D7"/>
    <w:rsid w:val="00923C75"/>
    <w:rsid w:val="009D0E0E"/>
    <w:rsid w:val="00A72D70"/>
    <w:rsid w:val="00C056C8"/>
    <w:rsid w:val="00E9516C"/>
    <w:rsid w:val="00F06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8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C78F0"/>
  </w:style>
  <w:style w:type="paragraph" w:styleId="BalloonText">
    <w:name w:val="Balloon Text"/>
    <w:basedOn w:val="Normal"/>
    <w:link w:val="BalloonTextChar"/>
    <w:uiPriority w:val="99"/>
    <w:semiHidden/>
    <w:unhideWhenUsed/>
    <w:rsid w:val="0063094E"/>
    <w:rPr>
      <w:rFonts w:ascii="Tahoma" w:hAnsi="Tahoma" w:cs="Tahoma"/>
      <w:sz w:val="16"/>
      <w:szCs w:val="16"/>
    </w:rPr>
  </w:style>
  <w:style w:type="character" w:customStyle="1" w:styleId="BalloonTextChar">
    <w:name w:val="Balloon Text Char"/>
    <w:basedOn w:val="DefaultParagraphFont"/>
    <w:link w:val="BalloonText"/>
    <w:uiPriority w:val="99"/>
    <w:semiHidden/>
    <w:rsid w:val="0063094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8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C78F0"/>
  </w:style>
  <w:style w:type="paragraph" w:styleId="BalloonText">
    <w:name w:val="Balloon Text"/>
    <w:basedOn w:val="Normal"/>
    <w:link w:val="BalloonTextChar"/>
    <w:uiPriority w:val="99"/>
    <w:semiHidden/>
    <w:unhideWhenUsed/>
    <w:rsid w:val="0063094E"/>
    <w:rPr>
      <w:rFonts w:ascii="Tahoma" w:hAnsi="Tahoma" w:cs="Tahoma"/>
      <w:sz w:val="16"/>
      <w:szCs w:val="16"/>
    </w:rPr>
  </w:style>
  <w:style w:type="character" w:customStyle="1" w:styleId="BalloonTextChar">
    <w:name w:val="Balloon Text Char"/>
    <w:basedOn w:val="DefaultParagraphFont"/>
    <w:link w:val="BalloonText"/>
    <w:uiPriority w:val="99"/>
    <w:semiHidden/>
    <w:rsid w:val="0063094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Wayne Liu</cp:lastModifiedBy>
  <cp:revision>2</cp:revision>
  <dcterms:created xsi:type="dcterms:W3CDTF">2016-05-03T18:55:00Z</dcterms:created>
  <dcterms:modified xsi:type="dcterms:W3CDTF">2016-05-03T18:55:00Z</dcterms:modified>
</cp:coreProperties>
</file>