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B9056E" w:rsidRPr="00E96A7C" w14:paraId="43C1FD99" w14:textId="77777777" w:rsidTr="003F26BE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5E8B0F3B" w14:textId="77777777" w:rsidR="00B9056E" w:rsidRPr="00BC12ED" w:rsidRDefault="00B9056E" w:rsidP="003F26BE">
            <w:pPr>
              <w:jc w:val="right"/>
              <w:rPr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Pr="00BC12ED">
              <w:rPr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17D43A01" w14:textId="10022FE5" w:rsidR="00B9056E" w:rsidRPr="00E96A7C" w:rsidRDefault="00B9056E" w:rsidP="003F26BE">
            <w:pPr>
              <w:rPr>
                <w:color w:val="000000"/>
                <w:sz w:val="28"/>
                <w:szCs w:val="28"/>
                <w:lang w:val="en-GB"/>
              </w:rPr>
            </w:pPr>
            <w:r w:rsidRPr="00B9056E">
              <w:rPr>
                <w:color w:val="000000"/>
                <w:sz w:val="24"/>
                <w:szCs w:val="24"/>
                <w:lang w:val="en-GB"/>
              </w:rPr>
              <w:t>Oracle SQL Language Fundamentals – Analytic Functions</w:t>
            </w:r>
          </w:p>
        </w:tc>
      </w:tr>
      <w:tr w:rsidR="00B9056E" w:rsidRPr="00E96A7C" w14:paraId="2D120EDB" w14:textId="77777777" w:rsidTr="003F26BE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42AAA22" w14:textId="77777777" w:rsidR="00B9056E" w:rsidRPr="00BC12ED" w:rsidRDefault="00B9056E" w:rsidP="003F26BE">
            <w:pPr>
              <w:jc w:val="right"/>
              <w:rPr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73CD7BC4" w14:textId="360B67F8" w:rsidR="00B9056E" w:rsidRPr="00B9056E" w:rsidRDefault="00B9056E" w:rsidP="003F26BE">
            <w:pPr>
              <w:rPr>
                <w:color w:val="000000"/>
                <w:sz w:val="24"/>
                <w:szCs w:val="24"/>
                <w:lang w:val="en-GB"/>
              </w:rPr>
            </w:pPr>
            <w:r w:rsidRPr="00B9056E">
              <w:rPr>
                <w:color w:val="000000"/>
                <w:sz w:val="24"/>
                <w:szCs w:val="24"/>
                <w:lang w:val="en-GB"/>
              </w:rPr>
              <w:t>SQLAN01-EX-02</w:t>
            </w: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B9056E" w:rsidRPr="00A0505A" w14:paraId="4560F3F7" w14:textId="77777777" w:rsidTr="003F26BE">
        <w:trPr>
          <w:trHeight w:val="316"/>
        </w:trPr>
        <w:tc>
          <w:tcPr>
            <w:tcW w:w="3637" w:type="dxa"/>
            <w:gridSpan w:val="4"/>
            <w:vAlign w:val="center"/>
          </w:tcPr>
          <w:p w14:paraId="1BEF4619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Document Difficulty Level</w:t>
            </w:r>
          </w:p>
        </w:tc>
      </w:tr>
      <w:tr w:rsidR="00B9056E" w:rsidRPr="00A0505A" w14:paraId="6C9C8E29" w14:textId="77777777" w:rsidTr="003F26BE">
        <w:trPr>
          <w:trHeight w:val="263"/>
        </w:trPr>
        <w:tc>
          <w:tcPr>
            <w:tcW w:w="1034" w:type="dxa"/>
            <w:vAlign w:val="center"/>
          </w:tcPr>
          <w:p w14:paraId="337C1E20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3B9C91D5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00937AEA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34DF1104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Expert</w:t>
            </w:r>
          </w:p>
        </w:tc>
      </w:tr>
      <w:tr w:rsidR="00B9056E" w14:paraId="38797A66" w14:textId="77777777" w:rsidTr="003F26BE">
        <w:tc>
          <w:tcPr>
            <w:tcW w:w="1034" w:type="dxa"/>
            <w:shd w:val="clear" w:color="auto" w:fill="FFFFFF"/>
            <w:vAlign w:val="center"/>
          </w:tcPr>
          <w:p w14:paraId="4D0699B7" w14:textId="0FF22D8F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143E969" w14:textId="4B221476" w:rsidR="00B9056E" w:rsidRDefault="00B9056E" w:rsidP="003F26BE">
            <w:pPr>
              <w:spacing w:before="15" w:after="15"/>
              <w:jc w:val="center"/>
            </w:pPr>
            <w:r>
              <w:rPr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755E1225" w14:textId="77777777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34EB0DB4" w14:textId="77777777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</w:tr>
    </w:tbl>
    <w:p w14:paraId="275963E3" w14:textId="1EE1BA0D" w:rsidR="00B9056E" w:rsidRDefault="00B9056E" w:rsidP="00B9056E">
      <w:pPr>
        <w:pStyle w:val="Balk1"/>
        <w:rPr>
          <w:lang w:val="en-US"/>
        </w:rPr>
      </w:pPr>
    </w:p>
    <w:p w14:paraId="2B59C439" w14:textId="538E8DC6" w:rsidR="00B9056E" w:rsidRDefault="00B9056E" w:rsidP="00B9056E">
      <w:pPr>
        <w:rPr>
          <w:lang w:val="en-US"/>
        </w:rPr>
      </w:pPr>
      <w:r>
        <w:rPr>
          <w:lang w:val="en-US"/>
        </w:rPr>
        <w:br w:type="page"/>
      </w:r>
    </w:p>
    <w:bookmarkEnd w:id="0"/>
    <w:p w14:paraId="1A09706A" w14:textId="3322F12D" w:rsidR="00CD6288" w:rsidRDefault="00CD6288"/>
    <w:p w14:paraId="772A5830" w14:textId="77777777" w:rsidR="00CD6288" w:rsidRDefault="00000000">
      <w:pPr>
        <w:pStyle w:val="Balk1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2E8626CB" w14:textId="77777777" w:rsidR="00CD6288" w:rsidRDefault="00CD6288">
      <w:pPr>
        <w:rPr>
          <w:b/>
          <w:color w:val="1F497D"/>
        </w:rPr>
      </w:pPr>
    </w:p>
    <w:tbl>
      <w:tblPr>
        <w:tblStyle w:val="a0"/>
        <w:tblW w:w="9288" w:type="dxa"/>
        <w:tblInd w:w="-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D6288" w14:paraId="2F0FDAC3" w14:textId="77777777" w:rsidTr="00CD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8B0F3D" w14:textId="77777777" w:rsidR="00CD6288" w:rsidRDefault="00000000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85" w:type="dxa"/>
          </w:tcPr>
          <w:p w14:paraId="50D47AAA" w14:textId="77777777" w:rsidR="00CD628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9" w:type="dxa"/>
          </w:tcPr>
          <w:p w14:paraId="0272ADFE" w14:textId="77777777" w:rsidR="00CD628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352" w:type="dxa"/>
          </w:tcPr>
          <w:p w14:paraId="0489A1C6" w14:textId="77777777" w:rsidR="00CD628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CD6288" w14:paraId="6603B303" w14:textId="77777777" w:rsidTr="00CD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482D4D" w14:textId="77777777" w:rsidR="00CD6288" w:rsidRDefault="00000000">
            <w:pPr>
              <w:rPr>
                <w:color w:val="1F497D"/>
              </w:rPr>
            </w:pPr>
            <w:r>
              <w:rPr>
                <w:color w:val="1F497D"/>
              </w:rPr>
              <w:t>01.10.2017</w:t>
            </w:r>
          </w:p>
        </w:tc>
        <w:tc>
          <w:tcPr>
            <w:tcW w:w="1985" w:type="dxa"/>
          </w:tcPr>
          <w:p w14:paraId="01FE933B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Aslan Yüksel</w:t>
            </w:r>
          </w:p>
          <w:p w14:paraId="1E62F103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9" w:type="dxa"/>
          </w:tcPr>
          <w:p w14:paraId="54C4CADF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352" w:type="dxa"/>
          </w:tcPr>
          <w:p w14:paraId="1CA7A222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  <w:tr w:rsidR="00CD6288" w14:paraId="4CEA29CE" w14:textId="77777777" w:rsidTr="00CD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F770ED" w14:textId="77777777" w:rsidR="00CD6288" w:rsidRDefault="00000000">
            <w:pPr>
              <w:rPr>
                <w:color w:val="1F497D"/>
              </w:rPr>
            </w:pPr>
            <w:r>
              <w:rPr>
                <w:color w:val="1F497D"/>
              </w:rPr>
              <w:t>11.07.2025</w:t>
            </w:r>
          </w:p>
        </w:tc>
        <w:tc>
          <w:tcPr>
            <w:tcW w:w="1985" w:type="dxa"/>
          </w:tcPr>
          <w:p w14:paraId="4DB41115" w14:textId="77777777" w:rsidR="00CD628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9" w:type="dxa"/>
          </w:tcPr>
          <w:p w14:paraId="10003C6E" w14:textId="77777777" w:rsidR="00CD628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</w:t>
            </w:r>
          </w:p>
        </w:tc>
        <w:tc>
          <w:tcPr>
            <w:tcW w:w="5352" w:type="dxa"/>
          </w:tcPr>
          <w:p w14:paraId="741B0DB7" w14:textId="77777777" w:rsidR="00CD628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Revisions</w:t>
            </w:r>
            <w:proofErr w:type="spellEnd"/>
          </w:p>
        </w:tc>
      </w:tr>
    </w:tbl>
    <w:p w14:paraId="4E529522" w14:textId="77777777" w:rsidR="00CD6288" w:rsidRDefault="00CD6288">
      <w:pPr>
        <w:rPr>
          <w:b/>
          <w:color w:val="1F497D"/>
        </w:rPr>
      </w:pPr>
    </w:p>
    <w:p w14:paraId="51301643" w14:textId="77777777" w:rsidR="00CD6288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3CD2EB2C" w14:textId="77777777" w:rsidR="00CD6288" w:rsidRDefault="00000000">
      <w:pPr>
        <w:pStyle w:val="Balk1"/>
      </w:pPr>
      <w:r>
        <w:lastRenderedPageBreak/>
        <w:t xml:space="preserve">Oracle SQL Language Fundamentals –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0294C0DE" w14:textId="77777777" w:rsidR="00CD6288" w:rsidRDefault="00CD6288"/>
    <w:p w14:paraId="1FB7BBDF" w14:textId="77777777" w:rsidR="00CD6288" w:rsidRDefault="00000000">
      <w:pPr>
        <w:pStyle w:val="Balk2"/>
      </w:pPr>
      <w:proofErr w:type="spellStart"/>
      <w:r>
        <w:t>Exercise</w:t>
      </w:r>
      <w:proofErr w:type="spellEnd"/>
      <w:r>
        <w:t xml:space="preserve"> SQLAN-EX-02:</w:t>
      </w:r>
    </w:p>
    <w:p w14:paraId="66AF2ED5" w14:textId="77777777" w:rsidR="00CD6288" w:rsidRDefault="00CD6288"/>
    <w:p w14:paraId="69A48388" w14:textId="77777777" w:rsidR="00CD6288" w:rsidRDefault="00000000">
      <w:r>
        <w:t xml:space="preserve">Aşağıdaki soruları, analitik fonksiyonları kullanarak SQL dilinde yazınız. </w:t>
      </w:r>
    </w:p>
    <w:p w14:paraId="6756F6A9" w14:textId="77777777" w:rsidR="00CD6288" w:rsidRDefault="00000000">
      <w:r>
        <w:t>HR şemasını kullanabilirsiniz.</w:t>
      </w:r>
    </w:p>
    <w:p w14:paraId="0E418DB6" w14:textId="77777777" w:rsidR="00CD6288" w:rsidRDefault="00CD6288"/>
    <w:p w14:paraId="03E62A34" w14:textId="77777777" w:rsidR="00CD6288" w:rsidRDefault="00000000">
      <w:r>
        <w:rPr>
          <w:b/>
        </w:rPr>
        <w:t>Soru 1</w:t>
      </w:r>
      <w:r>
        <w:t xml:space="preserve"> : Bir </w:t>
      </w:r>
      <w:proofErr w:type="spellStart"/>
      <w:r>
        <w:t>departman’da</w:t>
      </w:r>
      <w:proofErr w:type="spellEnd"/>
      <w:r>
        <w:t xml:space="preserve"> çalışan tüm kişilerin isimlerini tek kolonda yan yana olacak şekilde yazınız.</w:t>
      </w:r>
    </w:p>
    <w:p w14:paraId="2FEDD160" w14:textId="77777777" w:rsidR="00CD6288" w:rsidRDefault="00000000">
      <w:r>
        <w:rPr>
          <w:b/>
        </w:rPr>
        <w:t>Soru 2</w:t>
      </w:r>
      <w:r>
        <w:t xml:space="preserve"> :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ID’ye</w:t>
      </w:r>
      <w:proofErr w:type="spellEnd"/>
      <w:r>
        <w:t xml:space="preserve"> göre gruplanacak şekilde </w:t>
      </w:r>
      <w:proofErr w:type="spellStart"/>
      <w:r>
        <w:t>Employee</w:t>
      </w:r>
      <w:proofErr w:type="spellEnd"/>
      <w:r>
        <w:t xml:space="preserve"> ID sıralaması baz alınarak, her çalışan için kendisinden 1 önce ve sonra çalışanların maaşlarının toplamını yazınız.</w:t>
      </w:r>
    </w:p>
    <w:p w14:paraId="51862A76" w14:textId="77777777" w:rsidR="00CD6288" w:rsidRDefault="00000000">
      <w:r>
        <w:rPr>
          <w:b/>
        </w:rPr>
        <w:t>Soru 3</w:t>
      </w:r>
      <w:r>
        <w:t xml:space="preserve"> :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ID’ye</w:t>
      </w:r>
      <w:proofErr w:type="spellEnd"/>
      <w:r>
        <w:t xml:space="preserve"> göre gruplanacak şekilde </w:t>
      </w:r>
      <w:proofErr w:type="spellStart"/>
      <w:r>
        <w:t>Employee</w:t>
      </w:r>
      <w:proofErr w:type="spellEnd"/>
      <w:r>
        <w:t xml:space="preserve"> ID sıralaması baz alınarak, her çalışan için kendinden 1 sonra gelen çalışanın telefon numarasını yazınız.</w:t>
      </w:r>
    </w:p>
    <w:p w14:paraId="2317E1DC" w14:textId="77777777" w:rsidR="00CD6288" w:rsidRDefault="00000000">
      <w:r>
        <w:rPr>
          <w:b/>
        </w:rPr>
        <w:t>Soru 4</w:t>
      </w:r>
      <w:r>
        <w:t xml:space="preserve"> : Tüm çalışanların, şirketteki maaş sıralamasını yazınız. Aynı maaşa ait birden fazla kişi varsa işe giriş tarihini de sıralamaya ekleyiniz</w:t>
      </w:r>
    </w:p>
    <w:p w14:paraId="66408B76" w14:textId="77777777" w:rsidR="00CD6288" w:rsidRDefault="00000000">
      <w:r>
        <w:rPr>
          <w:b/>
        </w:rPr>
        <w:t>Soru 5</w:t>
      </w:r>
      <w:r>
        <w:t xml:space="preserve"> : Tüm çalışanları, </w:t>
      </w:r>
      <w:proofErr w:type="spellStart"/>
      <w:r>
        <w:t>Employee</w:t>
      </w:r>
      <w:proofErr w:type="spellEnd"/>
      <w:r>
        <w:t xml:space="preserve"> ID sıralamasına göre 10’arlı gruplara ayırınız.</w:t>
      </w:r>
    </w:p>
    <w:p w14:paraId="55332633" w14:textId="77777777" w:rsidR="00CD6288" w:rsidRDefault="00000000">
      <w:r>
        <w:rPr>
          <w:b/>
        </w:rPr>
        <w:t>Soru 6</w:t>
      </w:r>
      <w:r>
        <w:t xml:space="preserve"> : Her departman için, o departmanın ortalama maaşın altında olan çalışanları 0; üstünde olanları ise 1 ile belirtiniz. </w:t>
      </w:r>
    </w:p>
    <w:p w14:paraId="264D67CB" w14:textId="77777777" w:rsidR="00CD6288" w:rsidRDefault="00000000">
      <w:r>
        <w:rPr>
          <w:b/>
        </w:rPr>
        <w:t xml:space="preserve">Soru 7 </w:t>
      </w:r>
      <w:r>
        <w:t xml:space="preserve">: Her yıl için, işe ilk alınan çalışanı bulunuz. </w:t>
      </w:r>
    </w:p>
    <w:p w14:paraId="0293947E" w14:textId="77777777" w:rsidR="00CD6288" w:rsidRDefault="00000000">
      <w:r>
        <w:rPr>
          <w:b/>
        </w:rPr>
        <w:t>Soru 8</w:t>
      </w:r>
      <w:r>
        <w:t xml:space="preserve"> : Bir </w:t>
      </w:r>
      <w:proofErr w:type="spellStart"/>
      <w:r>
        <w:t>departman’daki</w:t>
      </w:r>
      <w:proofErr w:type="spellEnd"/>
      <w:r>
        <w:t xml:space="preserve"> en yüksek maaş alan çalışan dışında kalanları listeleyiniz.</w:t>
      </w:r>
    </w:p>
    <w:p w14:paraId="72B44CA9" w14:textId="77777777" w:rsidR="00CD6288" w:rsidRDefault="00000000">
      <w:r>
        <w:rPr>
          <w:b/>
        </w:rPr>
        <w:t>Soru 9</w:t>
      </w:r>
      <w:r>
        <w:t xml:space="preserve"> : Bir departman içinde en yüksek maaş alan 2 çalışanını listeleyiniz.</w:t>
      </w:r>
    </w:p>
    <w:p w14:paraId="09EDD3A8" w14:textId="77777777" w:rsidR="00CD6288" w:rsidRDefault="00000000">
      <w:r>
        <w:rPr>
          <w:b/>
        </w:rPr>
        <w:t>Soru 10</w:t>
      </w:r>
      <w:r>
        <w:t xml:space="preserve"> : Bir </w:t>
      </w:r>
      <w:proofErr w:type="spellStart"/>
      <w:r>
        <w:t>departman’da</w:t>
      </w:r>
      <w:proofErr w:type="spellEnd"/>
      <w:r>
        <w:t xml:space="preserve"> bulunan tüm çalışanlar için, kendisinden önce ve sonra işe başlayan çalışanların isim ve </w:t>
      </w:r>
      <w:proofErr w:type="spellStart"/>
      <w:r>
        <w:t>soyisim</w:t>
      </w:r>
      <w:proofErr w:type="spellEnd"/>
      <w:r>
        <w:t xml:space="preserve"> bilgilerini getiriniz.</w:t>
      </w:r>
    </w:p>
    <w:p w14:paraId="03DD796D" w14:textId="77777777" w:rsidR="00CD6288" w:rsidRDefault="00CD6288"/>
    <w:p w14:paraId="6287F036" w14:textId="77777777" w:rsidR="00CD6288" w:rsidRDefault="00CD6288"/>
    <w:p w14:paraId="14172881" w14:textId="77777777" w:rsidR="00CD6288" w:rsidRDefault="00000000">
      <w:proofErr w:type="spellStart"/>
      <w:r>
        <w:rPr>
          <w:b/>
        </w:rPr>
        <w:t>Objectives</w:t>
      </w:r>
      <w:proofErr w:type="spellEnd"/>
      <w:r>
        <w:t xml:space="preserve"> :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57798B05" w14:textId="77777777" w:rsidR="00CD6288" w:rsidRDefault="00000000">
      <w:bookmarkStart w:id="1" w:name="_heading=h.rjwr78a06up0" w:colFirst="0" w:colLast="0"/>
      <w:bookmarkEnd w:id="1"/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Keywords</w:t>
      </w:r>
      <w:proofErr w:type="spellEnd"/>
      <w:r>
        <w:rPr>
          <w:b/>
        </w:rPr>
        <w:t>:</w:t>
      </w:r>
      <w:r>
        <w:t xml:space="preserve"> LEAD,LAG,ROW_NUMBER,RANK,DENSE_RANK,MAX,MIN,SUM,NTILE</w:t>
      </w:r>
    </w:p>
    <w:p w14:paraId="6CD71475" w14:textId="77777777" w:rsidR="00CD6288" w:rsidRDefault="00CD6288"/>
    <w:p w14:paraId="25DBC6E8" w14:textId="249CC141" w:rsidR="00CD6288" w:rsidRDefault="00000000" w:rsidP="005A7B19">
      <w:r>
        <w:br w:type="page"/>
      </w:r>
    </w:p>
    <w:p w14:paraId="7B6A6B86" w14:textId="77777777" w:rsidR="00CD6288" w:rsidRDefault="00000000">
      <w:pPr>
        <w:pStyle w:val="Balk2"/>
      </w:pPr>
      <w:r>
        <w:lastRenderedPageBreak/>
        <w:t>Solution of SQLAN-EX-02:</w:t>
      </w:r>
    </w:p>
    <w:p w14:paraId="18E172A5" w14:textId="77777777" w:rsidR="005A7B19" w:rsidRDefault="00000000" w:rsidP="005A7B19">
      <w:r>
        <w:t xml:space="preserve">Tüm soruları cevaplayınız. Telefon numaranızın son hanesinin + 1 </w:t>
      </w:r>
      <w:proofErr w:type="spellStart"/>
      <w:r>
        <w:t>nolu</w:t>
      </w:r>
      <w:proofErr w:type="spellEnd"/>
      <w:r>
        <w:t xml:space="preserve"> sorunun cevabını </w:t>
      </w:r>
      <w:proofErr w:type="spellStart"/>
      <w:r>
        <w:t>LinkedIn’e</w:t>
      </w:r>
      <w:proofErr w:type="spellEnd"/>
      <w:r>
        <w:t xml:space="preserve"> post olarak ekleyiniz.  Örneğin telefon numaranız 5339635384 ise son hane 4 olur. (4 +1) 5. soruda kullandığınız fonksiyon(</w:t>
      </w:r>
      <w:proofErr w:type="spellStart"/>
      <w:r>
        <w:t>lar</w:t>
      </w:r>
      <w:proofErr w:type="spellEnd"/>
      <w:r>
        <w:t>)</w:t>
      </w:r>
      <w:proofErr w:type="spellStart"/>
      <w:r>
        <w:t>ın</w:t>
      </w:r>
      <w:proofErr w:type="spellEnd"/>
      <w:r>
        <w:t xml:space="preserve"> açıklamasını içeren bir post yayınlayın</w:t>
      </w:r>
      <w:r w:rsidR="00B9056E">
        <w:t xml:space="preserve">ız. </w:t>
      </w:r>
      <w:r>
        <w:t xml:space="preserve">Eğer LEAD fonksiyonunu kullandıysanız, LEAD ne </w:t>
      </w:r>
      <w:r w:rsidR="00B9056E">
        <w:t>demek</w:t>
      </w:r>
      <w:r>
        <w:t xml:space="preserve"> ne amaçla kullanılır </w:t>
      </w:r>
      <w:r w:rsidR="00B9056E">
        <w:t>vs.</w:t>
      </w:r>
      <w:r>
        <w:t xml:space="preserve"> yazdıktan sonra soru ve cevabı </w:t>
      </w:r>
      <w:proofErr w:type="spellStart"/>
      <w:r w:rsidR="006220F8">
        <w:t>Hand</w:t>
      </w:r>
      <w:proofErr w:type="spellEnd"/>
      <w:r w:rsidR="006220F8">
        <w:t>-on-</w:t>
      </w:r>
      <w:proofErr w:type="spellStart"/>
      <w:r w:rsidR="006220F8">
        <w:t>Lab</w:t>
      </w:r>
      <w:proofErr w:type="spellEnd"/>
      <w:r w:rsidR="006220F8">
        <w:t xml:space="preserve"> şeklinde </w:t>
      </w:r>
      <w:r>
        <w:t>post edin</w:t>
      </w:r>
      <w:r w:rsidR="006220F8">
        <w:t>iz.</w:t>
      </w:r>
    </w:p>
    <w:p w14:paraId="0DCAF8A6" w14:textId="77777777" w:rsidR="005A7B19" w:rsidRDefault="005A7B19" w:rsidP="005A7B19"/>
    <w:p w14:paraId="445983D3" w14:textId="77777777" w:rsidR="005A7B19" w:rsidRDefault="005A7B19" w:rsidP="005A7B19"/>
    <w:p w14:paraId="1024B150" w14:textId="77777777" w:rsidR="005A7B19" w:rsidRDefault="005A7B19" w:rsidP="005A7B19"/>
    <w:p w14:paraId="6FC6A807" w14:textId="77777777" w:rsidR="005A7B19" w:rsidRDefault="005A7B19" w:rsidP="005A7B19"/>
    <w:p w14:paraId="4647E096" w14:textId="77777777" w:rsidR="005A7B19" w:rsidRDefault="005A7B19" w:rsidP="005A7B19"/>
    <w:p w14:paraId="15BA0118" w14:textId="77777777" w:rsidR="005A7B19" w:rsidRDefault="005A7B19" w:rsidP="005A7B19"/>
    <w:p w14:paraId="7EDB74A1" w14:textId="77777777" w:rsidR="005A7B19" w:rsidRDefault="005A7B19" w:rsidP="005A7B19"/>
    <w:p w14:paraId="26B79C38" w14:textId="77777777" w:rsidR="005A7B19" w:rsidRDefault="005A7B19" w:rsidP="005A7B19"/>
    <w:p w14:paraId="6C6137C7" w14:textId="77777777" w:rsidR="005A7B19" w:rsidRDefault="005A7B19" w:rsidP="005A7B19"/>
    <w:p w14:paraId="38203D0B" w14:textId="77777777" w:rsidR="005A7B19" w:rsidRDefault="005A7B19" w:rsidP="005A7B19"/>
    <w:p w14:paraId="78BABEDE" w14:textId="77777777" w:rsidR="005A7B19" w:rsidRDefault="005A7B19" w:rsidP="005A7B19"/>
    <w:p w14:paraId="417E1B99" w14:textId="77777777" w:rsidR="005A7B19" w:rsidRDefault="005A7B19" w:rsidP="005A7B19"/>
    <w:p w14:paraId="721F98D3" w14:textId="77777777" w:rsidR="005A7B19" w:rsidRDefault="005A7B19" w:rsidP="005A7B19"/>
    <w:p w14:paraId="6F84453D" w14:textId="77777777" w:rsidR="005A7B19" w:rsidRDefault="005A7B19" w:rsidP="005A7B19"/>
    <w:p w14:paraId="685DCFBD" w14:textId="77777777" w:rsidR="005A7B19" w:rsidRDefault="005A7B19" w:rsidP="005A7B19"/>
    <w:p w14:paraId="3EEE6B6F" w14:textId="77777777" w:rsidR="005A7B19" w:rsidRDefault="005A7B19" w:rsidP="005A7B19"/>
    <w:p w14:paraId="169C005E" w14:textId="77777777" w:rsidR="005A7B19" w:rsidRDefault="005A7B19" w:rsidP="005A7B19"/>
    <w:p w14:paraId="59F85362" w14:textId="77777777" w:rsidR="005A7B19" w:rsidRDefault="005A7B19" w:rsidP="005A7B19"/>
    <w:p w14:paraId="7183A769" w14:textId="77777777" w:rsidR="005A7B19" w:rsidRDefault="005A7B19" w:rsidP="005A7B19"/>
    <w:p w14:paraId="1FD1847C" w14:textId="77777777" w:rsidR="005A7B19" w:rsidRDefault="005A7B19" w:rsidP="005A7B19"/>
    <w:p w14:paraId="415084C6" w14:textId="77777777" w:rsidR="005A7B19" w:rsidRDefault="005A7B19" w:rsidP="005A7B19"/>
    <w:p w14:paraId="37ADBE2A" w14:textId="43D44464" w:rsidR="005A7B19" w:rsidRPr="005A7B19" w:rsidRDefault="005A7B19" w:rsidP="005A7B19">
      <w:proofErr w:type="spellStart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lastRenderedPageBreak/>
        <w:t>Job</w:t>
      </w:r>
      <w:proofErr w:type="spellEnd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ID’ye</w:t>
      </w:r>
      <w:proofErr w:type="spellEnd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göre gruplanmış şekilde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ve </w:t>
      </w:r>
      <w:proofErr w:type="spellStart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Employee</w:t>
      </w:r>
      <w:proofErr w:type="spellEnd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ID sıralamasına göre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bir önceki ve bir sonraki çalışanın maaşlarının toplamını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hesaplayan SQL sorgusu yer almaktadır.</w:t>
      </w:r>
    </w:p>
    <w:p w14:paraId="541F30FE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SELECT </w:t>
      </w:r>
    </w:p>
    <w:p w14:paraId="4BA76DAB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employee_id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,</w:t>
      </w:r>
    </w:p>
    <w:p w14:paraId="71271A73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job_id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,</w:t>
      </w:r>
    </w:p>
    <w:p w14:paraId="042EAC1C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salary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,</w:t>
      </w:r>
    </w:p>
    <w:p w14:paraId="0D8D6B3E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NVL(LAG(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salary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) OVER (PARTITION BY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job_id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ORDER BY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employee_id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), 0) +</w:t>
      </w:r>
    </w:p>
    <w:p w14:paraId="0557DE6D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NVL(LEAD(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salary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) OVER (PARTITION BY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job_id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ORDER BY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employee_id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), 0) </w:t>
      </w:r>
    </w:p>
    <w:p w14:paraId="16FCB838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AS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previous_next_salary_sum</w:t>
      </w:r>
      <w:proofErr w:type="spellEnd"/>
    </w:p>
    <w:p w14:paraId="7833EDCB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FROM </w:t>
      </w:r>
    </w:p>
    <w:p w14:paraId="7B368073" w14:textId="77777777" w:rsidR="005A7B19" w:rsidRPr="005A7B19" w:rsidRDefault="005A7B19" w:rsidP="005A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employees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;</w:t>
      </w:r>
    </w:p>
    <w:p w14:paraId="74EAB7C8" w14:textId="77777777" w:rsidR="005A7B19" w:rsidRPr="005A7B19" w:rsidRDefault="005A7B19" w:rsidP="005A7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</w:rPr>
      </w:pPr>
      <w:r w:rsidRPr="005A7B19">
        <w:rPr>
          <w:rFonts w:ascii="Times New Roman" w:eastAsia="Times New Roman" w:hAnsi="Times New Roman" w:cs="Times New Roman"/>
          <w:b/>
          <w:bCs/>
          <w:sz w:val="27"/>
          <w:szCs w:val="27"/>
          <w:lang w:val="tr-TR" w:eastAsia="tr-TR"/>
        </w:rPr>
        <w:t>Açıklama:</w:t>
      </w:r>
    </w:p>
    <w:p w14:paraId="6B99652C" w14:textId="77777777" w:rsidR="005A7B19" w:rsidRPr="005A7B19" w:rsidRDefault="005A7B19" w:rsidP="005A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PARTITION BY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job_id</w:t>
      </w:r>
      <w:proofErr w:type="spellEnd"/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Her </w:t>
      </w:r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iş tanımı (JOB_ID)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için ayrı ayrı gruplanır.</w:t>
      </w:r>
    </w:p>
    <w:p w14:paraId="76CB2A03" w14:textId="77777777" w:rsidR="005A7B19" w:rsidRPr="005A7B19" w:rsidRDefault="005A7B19" w:rsidP="005A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ORDER BY 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employee_id</w:t>
      </w:r>
      <w:proofErr w:type="spellEnd"/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Her grup içinde </w:t>
      </w:r>
      <w:proofErr w:type="spellStart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employee_id'ye</w:t>
      </w:r>
      <w:proofErr w:type="spellEnd"/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göre sıralama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yapılır.</w:t>
      </w:r>
    </w:p>
    <w:p w14:paraId="6B17BDFB" w14:textId="77777777" w:rsidR="005A7B19" w:rsidRPr="005A7B19" w:rsidRDefault="005A7B19" w:rsidP="005A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LAG(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salary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)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Kendinden </w:t>
      </w:r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bir önceki çalışanın maaşını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alır.</w:t>
      </w:r>
    </w:p>
    <w:p w14:paraId="08E040FF" w14:textId="77777777" w:rsidR="005A7B19" w:rsidRPr="005A7B19" w:rsidRDefault="005A7B19" w:rsidP="005A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LEAD(</w:t>
      </w: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salary</w:t>
      </w:r>
      <w:proofErr w:type="spellEnd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)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Kendinden </w:t>
      </w:r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bir sonraki çalışanın maaşını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alır.</w:t>
      </w:r>
    </w:p>
    <w:p w14:paraId="1E2A1F07" w14:textId="77777777" w:rsidR="005A7B19" w:rsidRPr="005A7B19" w:rsidRDefault="005A7B19" w:rsidP="005A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NVL(..., 0)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: Eğer önceki ya da sonraki çalışan yoksa (örneğin ilk veya son satır), </w:t>
      </w:r>
      <w:r w:rsidRPr="005A7B19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NULL yerine 0</w:t>
      </w:r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alınır.</w:t>
      </w:r>
    </w:p>
    <w:p w14:paraId="50F4FF59" w14:textId="77777777" w:rsidR="005A7B19" w:rsidRPr="005A7B19" w:rsidRDefault="005A7B19" w:rsidP="005A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5A7B19">
        <w:rPr>
          <w:rFonts w:ascii="Courier New" w:eastAsia="Times New Roman" w:hAnsi="Courier New" w:cs="Courier New"/>
          <w:sz w:val="20"/>
          <w:szCs w:val="20"/>
          <w:lang w:val="tr-TR" w:eastAsia="tr-TR"/>
        </w:rPr>
        <w:t>previous_next_salary_sum</w:t>
      </w:r>
      <w:proofErr w:type="spellEnd"/>
      <w:r w:rsidRPr="005A7B19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 Bu iki değerin toplamını gösteren sütundur.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26"/>
        <w:gridCol w:w="712"/>
      </w:tblGrid>
      <w:tr w:rsidR="005A7B19" w:rsidRPr="005A7B19" w14:paraId="6301C2C9" w14:textId="77777777" w:rsidTr="005A7B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CAD55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261B5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B2FB3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salary</w:t>
            </w:r>
            <w:proofErr w:type="spellEnd"/>
          </w:p>
        </w:tc>
      </w:tr>
      <w:tr w:rsidR="005A7B19" w:rsidRPr="005A7B19" w14:paraId="66351454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9447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63739EB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IT_PROG</w:t>
            </w:r>
          </w:p>
        </w:tc>
        <w:tc>
          <w:tcPr>
            <w:tcW w:w="0" w:type="auto"/>
            <w:vAlign w:val="center"/>
            <w:hideMark/>
          </w:tcPr>
          <w:p w14:paraId="2FB5A2D8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6000</w:t>
            </w:r>
          </w:p>
        </w:tc>
      </w:tr>
      <w:tr w:rsidR="005A7B19" w:rsidRPr="005A7B19" w14:paraId="785CC127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CEE2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9626AF4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IT_PROG</w:t>
            </w:r>
          </w:p>
        </w:tc>
        <w:tc>
          <w:tcPr>
            <w:tcW w:w="0" w:type="auto"/>
            <w:vAlign w:val="center"/>
            <w:hideMark/>
          </w:tcPr>
          <w:p w14:paraId="6FADC49D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7000</w:t>
            </w:r>
          </w:p>
        </w:tc>
      </w:tr>
      <w:tr w:rsidR="005A7B19" w:rsidRPr="005A7B19" w14:paraId="720036F1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AFAC5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82305F3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IT_PROG</w:t>
            </w:r>
          </w:p>
        </w:tc>
        <w:tc>
          <w:tcPr>
            <w:tcW w:w="0" w:type="auto"/>
            <w:vAlign w:val="center"/>
            <w:hideMark/>
          </w:tcPr>
          <w:p w14:paraId="32A7FF77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4000</w:t>
            </w:r>
          </w:p>
        </w:tc>
      </w:tr>
      <w:tr w:rsidR="005A7B19" w:rsidRPr="005A7B19" w14:paraId="6F6C01D0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BD08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A888A96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HR_REP</w:t>
            </w:r>
          </w:p>
        </w:tc>
        <w:tc>
          <w:tcPr>
            <w:tcW w:w="0" w:type="auto"/>
            <w:vAlign w:val="center"/>
            <w:hideMark/>
          </w:tcPr>
          <w:p w14:paraId="23397C8D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3000</w:t>
            </w:r>
          </w:p>
        </w:tc>
      </w:tr>
      <w:tr w:rsidR="005A7B19" w:rsidRPr="005A7B19" w14:paraId="28629EEF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8B8A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08BF418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HR_REP</w:t>
            </w:r>
          </w:p>
        </w:tc>
        <w:tc>
          <w:tcPr>
            <w:tcW w:w="0" w:type="auto"/>
            <w:vAlign w:val="center"/>
            <w:hideMark/>
          </w:tcPr>
          <w:p w14:paraId="141FF0B9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3500</w:t>
            </w:r>
          </w:p>
        </w:tc>
      </w:tr>
    </w:tbl>
    <w:p w14:paraId="4468183A" w14:textId="77777777" w:rsidR="005A7B19" w:rsidRDefault="005A7B19" w:rsidP="005A7B19">
      <w:pPr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26"/>
        <w:gridCol w:w="697"/>
        <w:gridCol w:w="1284"/>
        <w:gridCol w:w="1271"/>
        <w:gridCol w:w="2045"/>
      </w:tblGrid>
      <w:tr w:rsidR="005A7B19" w:rsidRPr="005A7B19" w14:paraId="4D02FC97" w14:textId="77777777" w:rsidTr="005A7B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0DB6D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EC93A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A8DD0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F32F1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prev_salary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1FAE0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proofErr w:type="spellStart"/>
            <w:r w:rsidRPr="005A7B19">
              <w:rPr>
                <w:rFonts w:ascii="Arial" w:hAnsi="Arial" w:cs="Arial"/>
                <w:b/>
                <w:bCs/>
                <w:lang w:val="tr-TR"/>
              </w:rPr>
              <w:t>next_salary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24D79" w14:textId="77777777" w:rsidR="005A7B19" w:rsidRPr="005A7B19" w:rsidRDefault="005A7B19" w:rsidP="005A7B19">
            <w:pPr>
              <w:rPr>
                <w:rFonts w:ascii="Arial" w:hAnsi="Arial" w:cs="Arial"/>
                <w:b/>
                <w:bCs/>
                <w:lang w:val="tr-TR"/>
              </w:rPr>
            </w:pPr>
            <w:r w:rsidRPr="005A7B19">
              <w:rPr>
                <w:rFonts w:ascii="Arial" w:hAnsi="Arial" w:cs="Arial"/>
                <w:b/>
                <w:bCs/>
                <w:lang w:val="tr-TR"/>
              </w:rPr>
              <w:t>toplam</w:t>
            </w:r>
          </w:p>
        </w:tc>
      </w:tr>
      <w:tr w:rsidR="005A7B19" w:rsidRPr="005A7B19" w14:paraId="251781C2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FA56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8B061AC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IT_PROG</w:t>
            </w:r>
          </w:p>
        </w:tc>
        <w:tc>
          <w:tcPr>
            <w:tcW w:w="0" w:type="auto"/>
            <w:vAlign w:val="center"/>
            <w:hideMark/>
          </w:tcPr>
          <w:p w14:paraId="519FF8AC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0113BBA0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D119422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566CC03B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0+7000 = 7000</w:t>
            </w:r>
          </w:p>
        </w:tc>
      </w:tr>
      <w:tr w:rsidR="005A7B19" w:rsidRPr="005A7B19" w14:paraId="7B49AD3A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BFA7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99A2AC7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IT_PROG</w:t>
            </w:r>
          </w:p>
        </w:tc>
        <w:tc>
          <w:tcPr>
            <w:tcW w:w="0" w:type="auto"/>
            <w:vAlign w:val="center"/>
            <w:hideMark/>
          </w:tcPr>
          <w:p w14:paraId="5A680E93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65040806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66B4BA39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3E591A10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6000+4000 = 10000</w:t>
            </w:r>
          </w:p>
        </w:tc>
      </w:tr>
      <w:tr w:rsidR="005A7B19" w:rsidRPr="005A7B19" w14:paraId="49B051F4" w14:textId="77777777" w:rsidTr="005A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8CF8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F37EC85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IT_PROG</w:t>
            </w:r>
          </w:p>
        </w:tc>
        <w:tc>
          <w:tcPr>
            <w:tcW w:w="0" w:type="auto"/>
            <w:vAlign w:val="center"/>
            <w:hideMark/>
          </w:tcPr>
          <w:p w14:paraId="4F798FC5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58D5050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194EB514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B857397" w14:textId="77777777" w:rsidR="005A7B19" w:rsidRPr="005A7B19" w:rsidRDefault="005A7B19" w:rsidP="005A7B19">
            <w:pPr>
              <w:rPr>
                <w:rFonts w:ascii="Arial" w:hAnsi="Arial" w:cs="Arial"/>
                <w:lang w:val="tr-TR"/>
              </w:rPr>
            </w:pPr>
            <w:r w:rsidRPr="005A7B19">
              <w:rPr>
                <w:rFonts w:ascii="Arial" w:hAnsi="Arial" w:cs="Arial"/>
                <w:lang w:val="tr-TR"/>
              </w:rPr>
              <w:t>7000+0 = 7000</w:t>
            </w:r>
          </w:p>
        </w:tc>
      </w:tr>
    </w:tbl>
    <w:p w14:paraId="1BE636D6" w14:textId="44A211F4" w:rsidR="005A7B19" w:rsidRPr="005A7B19" w:rsidRDefault="005A7B19" w:rsidP="005A7B19">
      <w:pPr>
        <w:rPr>
          <w:rFonts w:ascii="Arial" w:hAnsi="Arial" w:cs="Arial"/>
        </w:rPr>
      </w:pPr>
      <w:r>
        <w:t xml:space="preserve">Sonuç: Her çalışanın "kendinden önce ve sonra gelen" aynı </w:t>
      </w:r>
      <w:proofErr w:type="spellStart"/>
      <w:r>
        <w:t>job_id'li</w:t>
      </w:r>
      <w:proofErr w:type="spellEnd"/>
      <w:r>
        <w:t xml:space="preserve"> çalışanların maaş toplamı bulunur.</w:t>
      </w:r>
    </w:p>
    <w:sectPr w:rsidR="005A7B19" w:rsidRPr="005A7B1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19E61" w14:textId="77777777" w:rsidR="00B03096" w:rsidRDefault="00B03096">
      <w:pPr>
        <w:spacing w:after="0" w:line="240" w:lineRule="auto"/>
      </w:pPr>
      <w:r>
        <w:separator/>
      </w:r>
    </w:p>
  </w:endnote>
  <w:endnote w:type="continuationSeparator" w:id="0">
    <w:p w14:paraId="68101200" w14:textId="77777777" w:rsidR="00B03096" w:rsidRDefault="00B0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A9227" w14:textId="77777777" w:rsidR="00CD6288" w:rsidRDefault="00CD628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8928" w:type="dxa"/>
      <w:tblInd w:w="-115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CD6288" w14:paraId="16A206DA" w14:textId="77777777">
      <w:tc>
        <w:tcPr>
          <w:tcW w:w="8928" w:type="dxa"/>
          <w:gridSpan w:val="2"/>
          <w:tcBorders>
            <w:top w:val="single" w:sz="4" w:space="0" w:color="000000"/>
          </w:tcBorders>
        </w:tcPr>
        <w:p w14:paraId="6955AB85" w14:textId="77777777" w:rsidR="00CD62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6C2FF3C6" wp14:editId="06A7E666">
                <wp:extent cx="230505" cy="142875"/>
                <wp:effectExtent l="0" t="0" r="0" b="0"/>
                <wp:docPr id="10" name="image1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</w:t>
          </w:r>
          <w:r>
            <w:rPr>
              <w:sz w:val="18"/>
              <w:szCs w:val="18"/>
            </w:rPr>
            <w:t>25</w:t>
          </w:r>
          <w:r>
            <w:rPr>
              <w:color w:val="000000"/>
              <w:sz w:val="18"/>
              <w:szCs w:val="18"/>
            </w:rPr>
            <w:t xml:space="preserve">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9056E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9056E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2" w:name="bookmark=id.45lymn5or1tx" w:colFirst="0" w:colLast="0"/>
          <w:bookmarkEnd w:id="2"/>
        </w:p>
      </w:tc>
    </w:tr>
    <w:tr w:rsidR="00CD6288" w14:paraId="1CFE8527" w14:textId="77777777">
      <w:tc>
        <w:tcPr>
          <w:tcW w:w="4642" w:type="dxa"/>
        </w:tcPr>
        <w:p w14:paraId="60EDA47F" w14:textId="77777777" w:rsidR="00CD62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3" w:name="bookmark=id.n7cjaqi3yju" w:colFirst="0" w:colLast="0"/>
          <w:bookmarkStart w:id="4" w:name="bookmark=id.pk1pxdrod4cn" w:colFirst="0" w:colLast="0"/>
          <w:bookmarkEnd w:id="3"/>
          <w:bookmarkEnd w:id="4"/>
          <w:r>
            <w:rPr>
              <w:color w:val="000000"/>
              <w:sz w:val="18"/>
              <w:szCs w:val="18"/>
            </w:rPr>
            <w:t xml:space="preserve">i2i Academy Training </w:t>
          </w:r>
          <w:proofErr w:type="spell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17CC8B09" w14:textId="77777777" w:rsidR="00CD62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14:paraId="6B46FB70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ACBF" w14:textId="77777777" w:rsidR="00CD6288" w:rsidRDefault="00000000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 wp14:anchorId="6806B2AF" wp14:editId="6401C6ED">
          <wp:extent cx="228600" cy="142875"/>
          <wp:effectExtent l="0" t="0" r="0" b="0"/>
          <wp:docPr id="12" name="image1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2025</w:t>
    </w:r>
  </w:p>
  <w:p w14:paraId="021F105B" w14:textId="77777777" w:rsidR="00CD6288" w:rsidRDefault="00CD6288">
    <w:pPr>
      <w:rPr>
        <w:color w:val="354369"/>
      </w:rPr>
    </w:pPr>
  </w:p>
  <w:p w14:paraId="7CC314FF" w14:textId="77777777" w:rsidR="00CD62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C193B" w14:textId="77777777" w:rsidR="00B03096" w:rsidRDefault="00B03096">
      <w:pPr>
        <w:spacing w:after="0" w:line="240" w:lineRule="auto"/>
      </w:pPr>
      <w:r>
        <w:separator/>
      </w:r>
    </w:p>
  </w:footnote>
  <w:footnote w:type="continuationSeparator" w:id="0">
    <w:p w14:paraId="7C4DEF55" w14:textId="77777777" w:rsidR="00B03096" w:rsidRDefault="00B0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5078A" w14:textId="77777777" w:rsidR="00CD6288" w:rsidRDefault="00000000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6AB14D41" wp14:editId="2EED99BF">
          <wp:extent cx="1438910" cy="429260"/>
          <wp:effectExtent l="0" t="0" r="0" b="0"/>
          <wp:docPr id="9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9C90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2E771608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299502F4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549F2082" w14:textId="77777777" w:rsidR="00CD62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723E8715" wp14:editId="63D11B06">
          <wp:extent cx="2066925" cy="609600"/>
          <wp:effectExtent l="0" t="0" r="0" b="0"/>
          <wp:docPr id="11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7AEFB35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14:paraId="0EE8143F" w14:textId="77777777" w:rsidR="00CD6288" w:rsidRDefault="00CD6288">
    <w:pPr>
      <w:rPr>
        <w:sz w:val="40"/>
        <w:szCs w:val="40"/>
      </w:rPr>
    </w:pPr>
  </w:p>
  <w:p w14:paraId="785D6F41" w14:textId="77777777" w:rsidR="00CD6288" w:rsidRDefault="00CD6288">
    <w:pPr>
      <w:rPr>
        <w:sz w:val="40"/>
        <w:szCs w:val="40"/>
      </w:rPr>
    </w:pPr>
  </w:p>
  <w:p w14:paraId="3381FD8F" w14:textId="77777777" w:rsidR="00CD6288" w:rsidRDefault="00CD6288">
    <w:pPr>
      <w:jc w:val="center"/>
      <w:rPr>
        <w:color w:val="354369"/>
        <w:sz w:val="32"/>
        <w:szCs w:val="32"/>
      </w:rPr>
    </w:pPr>
  </w:p>
  <w:p w14:paraId="1CE934D6" w14:textId="77777777" w:rsidR="00CD6288" w:rsidRDefault="00000000">
    <w:pPr>
      <w:jc w:val="center"/>
      <w:rPr>
        <w:b/>
        <w:color w:val="354369"/>
        <w:sz w:val="72"/>
        <w:szCs w:val="72"/>
      </w:rPr>
    </w:pPr>
    <w:r>
      <w:rPr>
        <w:b/>
        <w:color w:val="354369"/>
        <w:sz w:val="72"/>
        <w:szCs w:val="72"/>
      </w:rPr>
      <w:t>i2i Academy</w:t>
    </w:r>
  </w:p>
  <w:p w14:paraId="399CC012" w14:textId="77777777" w:rsidR="00CD6288" w:rsidRDefault="00000000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14:paraId="4D815392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756FEA7E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6183D789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19F0950A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3D92542F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569BA"/>
    <w:multiLevelType w:val="multilevel"/>
    <w:tmpl w:val="9DB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01869"/>
    <w:multiLevelType w:val="multilevel"/>
    <w:tmpl w:val="323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A03F6"/>
    <w:multiLevelType w:val="multilevel"/>
    <w:tmpl w:val="31A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04304">
    <w:abstractNumId w:val="1"/>
  </w:num>
  <w:num w:numId="2" w16cid:durableId="899243953">
    <w:abstractNumId w:val="2"/>
  </w:num>
  <w:num w:numId="3" w16cid:durableId="118300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88"/>
    <w:rsid w:val="00432508"/>
    <w:rsid w:val="005A7B19"/>
    <w:rsid w:val="006220F8"/>
    <w:rsid w:val="00693EA6"/>
    <w:rsid w:val="00B03096"/>
    <w:rsid w:val="00B9056E"/>
    <w:rsid w:val="00CA24E6"/>
    <w:rsid w:val="00C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0F37"/>
  <w15:docId w15:val="{A06CA636-BC08-014F-98A7-03A408E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5RVmjxQLNhAn95MuOswKRO0uQQ==">CgMxLjAyDmgudmlxenNuMXE0YzBwMg5oLnJqd3I3OGEwNnVwMDIPaWQuNDVseW1uNW9yMXR4Mg5pZC5uN2NqYXFpM3lqdTIPaWQucGsxcHhkcm9kNGNuOAByITFIX3FyNF8yM3ZxU09JX3hQNGlva2xqR2VHR1pERmZkZQ==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3</cp:revision>
  <dcterms:created xsi:type="dcterms:W3CDTF">2013-10-03T07:29:00Z</dcterms:created>
  <dcterms:modified xsi:type="dcterms:W3CDTF">2025-07-12T21:14:00Z</dcterms:modified>
</cp:coreProperties>
</file>