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650D" w:rsidRDefault="003251EB">
      <w:pPr>
        <w:spacing w:before="480" w:after="120"/>
      </w:pPr>
      <w:r>
        <w:rPr>
          <w:b/>
          <w:bCs/>
          <w:color w:val="1B3A5C"/>
          <w:sz w:val="26"/>
          <w:szCs w:val="26"/>
        </w:rPr>
        <w:t>KNOWLEDGE ENGINEERING AND ONTOLOGIES</w:t>
      </w:r>
    </w:p>
    <w:p w:rsidR="00B4650D" w:rsidRDefault="003251EB">
      <w:pPr>
        <w:spacing w:after="80"/>
      </w:pPr>
      <w:r>
        <w:rPr>
          <w:color w:val="64748B"/>
        </w:rPr>
        <w:t>Course Project — Research Integration Document</w:t>
      </w:r>
    </w:p>
    <w:p w:rsidR="00B4650D" w:rsidRDefault="00B4650D">
      <w:pPr>
        <w:pBdr>
          <w:bottom w:val="thick" w:sz="12" w:space="4" w:color="1B3A5C"/>
        </w:pBdr>
        <w:spacing w:after="320"/>
      </w:pPr>
    </w:p>
    <w:p w:rsidR="00B4650D" w:rsidRDefault="003251EB">
      <w:pPr>
        <w:spacing w:after="100"/>
      </w:pPr>
      <w:r>
        <w:rPr>
          <w:b/>
          <w:bCs/>
          <w:color w:val="1A202C"/>
          <w:sz w:val="44"/>
          <w:szCs w:val="44"/>
        </w:rPr>
        <w:t>Explanation of Selected Research Integration</w:t>
      </w:r>
    </w:p>
    <w:p w:rsidR="00B4650D" w:rsidRDefault="0055720A">
      <w:pPr>
        <w:spacing w:after="480"/>
      </w:pPr>
      <w:r>
        <w:rPr>
          <w:i/>
          <w:iCs/>
          <w:color w:val="64748B"/>
          <w:sz w:val="24"/>
          <w:szCs w:val="24"/>
        </w:rPr>
        <w:t xml:space="preserve">Healthcare Diagnosis Ontology </w:t>
      </w:r>
      <w:r w:rsidR="003251EB">
        <w:rPr>
          <w:i/>
          <w:iCs/>
          <w:color w:val="64748B"/>
          <w:sz w:val="24"/>
          <w:szCs w:val="24"/>
        </w:rPr>
        <w:t xml:space="preserve"> — Reference Paper Analysis</w:t>
      </w:r>
    </w:p>
    <w:p w:rsidR="00B4650D" w:rsidRDefault="00B4650D">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B4650D">
        <w:trPr>
          <w:tblHeader/>
        </w:trPr>
        <w:tc>
          <w:tcPr>
            <w:tcW w:w="324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Field</w:t>
            </w:r>
          </w:p>
        </w:tc>
        <w:tc>
          <w:tcPr>
            <w:tcW w:w="612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Details</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Author</w:t>
            </w:r>
          </w:p>
        </w:tc>
        <w:tc>
          <w:tcPr>
            <w:tcW w:w="61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0F19C8">
            <w:r>
              <w:rPr>
                <w:color w:val="1A202C"/>
                <w:sz w:val="19"/>
                <w:szCs w:val="19"/>
              </w:rPr>
              <w:t>Beyza Uç</w:t>
            </w:r>
            <w:bookmarkStart w:id="0" w:name="_GoBack"/>
            <w:bookmarkEnd w:id="0"/>
            <w:r w:rsidR="003251EB">
              <w:rPr>
                <w:color w:val="1A202C"/>
                <w:sz w:val="19"/>
                <w:szCs w:val="19"/>
              </w:rPr>
              <w:t>ar</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Student ID</w:t>
            </w:r>
          </w:p>
        </w:tc>
        <w:tc>
          <w:tcPr>
            <w:tcW w:w="61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proofErr w:type="gramStart"/>
            <w:r>
              <w:rPr>
                <w:color w:val="1A202C"/>
                <w:sz w:val="19"/>
                <w:szCs w:val="19"/>
              </w:rPr>
              <w:t>220316060</w:t>
            </w:r>
            <w:proofErr w:type="gramEnd"/>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Institution</w:t>
            </w:r>
          </w:p>
        </w:tc>
        <w:tc>
          <w:tcPr>
            <w:tcW w:w="61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Manisa Celal Bayar University, Computer Engineering</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Project</w:t>
            </w:r>
          </w:p>
        </w:tc>
        <w:tc>
          <w:tcPr>
            <w:tcW w:w="61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D245F9">
            <w:r>
              <w:rPr>
                <w:color w:val="1A202C"/>
                <w:sz w:val="19"/>
                <w:szCs w:val="19"/>
              </w:rPr>
              <w:t xml:space="preserve">Healthcare Diagnosis Ontology </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Reference Paper</w:t>
            </w:r>
          </w:p>
        </w:tc>
        <w:tc>
          <w:tcPr>
            <w:tcW w:w="61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Real-Time Health Analytics Using Ontology-Driven CEP and LLM Reasoning: A Tuberculosis Case Study</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Semester</w:t>
            </w:r>
          </w:p>
        </w:tc>
        <w:tc>
          <w:tcPr>
            <w:tcW w:w="61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2025–2026 Spring</w:t>
            </w:r>
          </w:p>
        </w:tc>
      </w:tr>
    </w:tbl>
    <w:p w:rsidR="00B4650D" w:rsidRDefault="003251EB">
      <w:r>
        <w:br w:type="page"/>
      </w:r>
    </w:p>
    <w:p w:rsidR="00B4650D" w:rsidRDefault="003251EB">
      <w:pPr>
        <w:pStyle w:val="Balk1"/>
      </w:pPr>
      <w:r>
        <w:lastRenderedPageBreak/>
        <w:t>1. Overview</w:t>
      </w:r>
    </w:p>
    <w:p w:rsidR="00B4650D" w:rsidRDefault="003251EB">
      <w:pPr>
        <w:spacing w:after="160" w:line="276" w:lineRule="auto"/>
        <w:jc w:val="both"/>
      </w:pPr>
      <w:r>
        <w:rPr>
          <w:color w:val="1A202C"/>
        </w:rPr>
        <w:t>This document describes how the reference paper titled "Real-Time Health Analytics Using Ontology-Driven Complex Event Processing and LLM Reasoning: A Tuberculosis Case Study" was selected, studied, and integrated into the Healthcare Diagnosis Ontology v4 project. The paper served as the conceptual and architectural foundation for extending the project beyond basic OWL modelling into a semantic clinical reasoning system with SWRL rules, diagnostic recommendations, and clinical alert generation.</w:t>
      </w:r>
    </w:p>
    <w:p w:rsidR="00B4650D" w:rsidRDefault="00B4650D">
      <w:pPr>
        <w:spacing w:after="120"/>
      </w:pPr>
    </w:p>
    <w:p w:rsidR="00B4650D" w:rsidRDefault="003251EB">
      <w:pPr>
        <w:pStyle w:val="Balk1"/>
      </w:pPr>
      <w:r>
        <w:t>2. Summary of the Reference Paper</w:t>
      </w:r>
    </w:p>
    <w:p w:rsidR="00B4650D" w:rsidRDefault="003251EB">
      <w:pPr>
        <w:spacing w:after="160" w:line="276" w:lineRule="auto"/>
        <w:jc w:val="both"/>
      </w:pPr>
      <w:r>
        <w:rPr>
          <w:color w:val="1A202C"/>
        </w:rPr>
        <w:t>The paper proposes a real-time healthcare analytics architecture that combines ontology engineering, semantic reasoning, complex event processing (CEP), RDF knowledge graphs, and large language model (LLM)-supported clinical interpretation, with tuberculosis (TB) diagnosis as the primary case study.</w:t>
      </w:r>
    </w:p>
    <w:p w:rsidR="00B4650D" w:rsidRDefault="00B4650D">
      <w:pPr>
        <w:spacing w:after="120"/>
      </w:pPr>
    </w:p>
    <w:p w:rsidR="00B4650D" w:rsidRDefault="003251EB">
      <w:pPr>
        <w:pStyle w:val="Balk2"/>
      </w:pPr>
      <w:r>
        <w:t>2.1 Core Architecture Components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60"/>
        <w:gridCol w:w="4500"/>
      </w:tblGrid>
      <w:tr w:rsidR="00B4650D">
        <w:trPr>
          <w:tblHeader/>
        </w:trPr>
        <w:tc>
          <w:tcPr>
            <w:tcW w:w="27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Component</w:t>
            </w:r>
          </w:p>
        </w:tc>
        <w:tc>
          <w:tcPr>
            <w:tcW w:w="216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Technology Used</w:t>
            </w:r>
          </w:p>
        </w:tc>
        <w:tc>
          <w:tcPr>
            <w:tcW w:w="45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Purpose in Paper</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Ontology Modelling</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OWL 2, Protégé</w:t>
            </w:r>
          </w:p>
        </w:tc>
        <w:tc>
          <w:tcPr>
            <w:tcW w:w="45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Represent patients, symptoms, diagnoses, treatments, and clinical workflows</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Semantic Reasoning</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SWRL rules, HermiT</w:t>
            </w:r>
          </w:p>
        </w:tc>
        <w:tc>
          <w:tcPr>
            <w:tcW w:w="45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Infer TB risk levels and recommend diagnostic tests automatically</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RDF Knowledge Graph</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Turtle, RDF triples</w:t>
            </w:r>
          </w:p>
        </w:tc>
        <w:tc>
          <w:tcPr>
            <w:tcW w:w="45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Store and query structured clinical knowledge</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SPARQL Querying</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 xml:space="preserve">SPARQL </w:t>
            </w:r>
            <w:proofErr w:type="gramStart"/>
            <w:r>
              <w:rPr>
                <w:color w:val="1A202C"/>
                <w:sz w:val="19"/>
                <w:szCs w:val="19"/>
              </w:rPr>
              <w:t>1.1</w:t>
            </w:r>
            <w:proofErr w:type="gramEnd"/>
          </w:p>
        </w:tc>
        <w:tc>
          <w:tcPr>
            <w:tcW w:w="45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Retrieve and analyse semantic knowledge from the graph</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Semantic Storage</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GraphDB</w:t>
            </w:r>
          </w:p>
        </w:tc>
        <w:tc>
          <w:tcPr>
            <w:tcW w:w="45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Persist and federate the knowledge graph at scale</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Real-Time Streaming</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Apache Kafka, Apache Spark</w:t>
            </w:r>
          </w:p>
        </w:tc>
        <w:tc>
          <w:tcPr>
            <w:tcW w:w="45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Ingest and process live clinical event streams</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Complex Event Processing</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Siddhi CEP</w:t>
            </w:r>
          </w:p>
        </w:tc>
        <w:tc>
          <w:tcPr>
            <w:tcW w:w="45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Detect temporal clinical patterns and trigger alerts</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LLM Interpretation</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GPT-based model</w:t>
            </w:r>
          </w:p>
        </w:tc>
        <w:tc>
          <w:tcPr>
            <w:tcW w:w="45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Translate ontology-inferred results into natural language explanations</w:t>
            </w:r>
          </w:p>
        </w:tc>
      </w:tr>
    </w:tbl>
    <w:p w:rsidR="00B4650D" w:rsidRDefault="00B4650D">
      <w:pPr>
        <w:spacing w:after="120"/>
      </w:pPr>
    </w:p>
    <w:p w:rsidR="00B4650D" w:rsidRDefault="003251EB">
      <w:pPr>
        <w:pStyle w:val="Balk2"/>
      </w:pPr>
      <w:r>
        <w:t>2.2 Key Contributions</w:t>
      </w:r>
    </w:p>
    <w:p w:rsidR="00B4650D" w:rsidRDefault="003251EB">
      <w:pPr>
        <w:pStyle w:val="ListeParagraf"/>
        <w:numPr>
          <w:ilvl w:val="0"/>
          <w:numId w:val="2"/>
        </w:numPr>
        <w:spacing w:after="100"/>
      </w:pPr>
      <w:r>
        <w:rPr>
          <w:color w:val="1A202C"/>
        </w:rPr>
        <w:t>Integration of OWL ontology reasoning with real-time healthcare analytics pipelines.</w:t>
      </w:r>
    </w:p>
    <w:p w:rsidR="00B4650D" w:rsidRDefault="003251EB">
      <w:pPr>
        <w:pStyle w:val="ListeParagraf"/>
        <w:numPr>
          <w:ilvl w:val="0"/>
          <w:numId w:val="2"/>
        </w:numPr>
        <w:spacing w:after="100"/>
      </w:pPr>
      <w:r>
        <w:rPr>
          <w:color w:val="1A202C"/>
        </w:rPr>
        <w:t>SWRL rules for disease-stage classification and automated diagnostic test inference.</w:t>
      </w:r>
    </w:p>
    <w:p w:rsidR="00B4650D" w:rsidRDefault="003251EB">
      <w:pPr>
        <w:pStyle w:val="ListeParagraf"/>
        <w:numPr>
          <w:ilvl w:val="0"/>
          <w:numId w:val="2"/>
        </w:numPr>
        <w:spacing w:after="100"/>
      </w:pPr>
      <w:r>
        <w:rPr>
          <w:color w:val="1A202C"/>
        </w:rPr>
        <w:t>Demonstration that semantic reasoning can automatically infer TB risk levels, recommend sputum tests, generate clinical alerts, and support decision-making.</w:t>
      </w:r>
    </w:p>
    <w:p w:rsidR="00B4650D" w:rsidRDefault="003251EB">
      <w:pPr>
        <w:pStyle w:val="ListeParagraf"/>
        <w:numPr>
          <w:ilvl w:val="0"/>
          <w:numId w:val="2"/>
        </w:numPr>
        <w:spacing w:after="100"/>
      </w:pPr>
      <w:r>
        <w:rPr>
          <w:color w:val="1A202C"/>
        </w:rPr>
        <w:t>Architectural pattern combining structured semantic reasoning with scalable event-driven processing.</w:t>
      </w:r>
    </w:p>
    <w:p w:rsidR="00B4650D" w:rsidRDefault="003251EB">
      <w:pPr>
        <w:pStyle w:val="ListeParagraf"/>
        <w:numPr>
          <w:ilvl w:val="0"/>
          <w:numId w:val="2"/>
        </w:numPr>
        <w:spacing w:after="100"/>
      </w:pPr>
      <w:r>
        <w:rPr>
          <w:color w:val="1A202C"/>
        </w:rPr>
        <w:t>LLM integration for generating human-readable explanations from ontology-inferred clinical results.</w:t>
      </w:r>
    </w:p>
    <w:p w:rsidR="00B4650D" w:rsidRDefault="00B4650D">
      <w:pPr>
        <w:spacing w:after="120"/>
      </w:pPr>
    </w:p>
    <w:p w:rsidR="00B4650D" w:rsidRDefault="003251EB">
      <w:pPr>
        <w:pStyle w:val="Balk1"/>
      </w:pPr>
      <w:r>
        <w:t>3. Components Adapted into the Project</w:t>
      </w:r>
    </w:p>
    <w:p w:rsidR="00B4650D" w:rsidRDefault="003251EB">
      <w:pPr>
        <w:spacing w:after="160" w:line="276" w:lineRule="auto"/>
        <w:jc w:val="both"/>
      </w:pPr>
      <w:r>
        <w:rPr>
          <w:color w:val="1A202C"/>
        </w:rPr>
        <w:t>The following architectural and modelling components from the reference paper were studied and adapted into the Healthcare Diagnosis Ontology v4. All adaptations are implemented in the context of a broader multi-disease domain (50 diseases across 10 categories) rather than the paper's TB-specific focus.</w:t>
      </w:r>
    </w:p>
    <w:p w:rsidR="00B4650D" w:rsidRDefault="00B4650D">
      <w:pPr>
        <w:spacing w:after="120"/>
      </w:pPr>
    </w:p>
    <w:p w:rsidR="00B4650D" w:rsidRDefault="003251EB">
      <w:pPr>
        <w:pStyle w:val="Balk2"/>
      </w:pPr>
      <w:r>
        <w:t>3.1 Ontology-Driven Healthcare Modelling</w:t>
      </w:r>
    </w:p>
    <w:p w:rsidR="00B4650D" w:rsidRDefault="003251EB">
      <w:pPr>
        <w:spacing w:after="160" w:line="276" w:lineRule="auto"/>
        <w:jc w:val="both"/>
      </w:pPr>
      <w:r>
        <w:rPr>
          <w:color w:val="1A202C"/>
        </w:rPr>
        <w:t>The paper's TB ontology structure — which separates patients, symptoms, diagnostic procedures, and clinical workflows as distinct OWL classes — was adopted as the structural template for the project ontology. The class hierarchy was extended from the paper's disease-specific model to a general clinical domain covering 11 OWL classes.</w:t>
      </w:r>
    </w:p>
    <w:p w:rsidR="00B4650D" w:rsidRDefault="00B4650D">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700"/>
        <w:gridCol w:w="3420"/>
      </w:tblGrid>
      <w:tr w:rsidR="00B4650D">
        <w:trPr>
          <w:tblHeader/>
        </w:trPr>
        <w:tc>
          <w:tcPr>
            <w:tcW w:w="324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Paper's TB Ontology Element</w:t>
            </w:r>
          </w:p>
        </w:tc>
        <w:tc>
          <w:tcPr>
            <w:tcW w:w="27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Adapted in Project as</w:t>
            </w:r>
          </w:p>
        </w:tc>
        <w:tc>
          <w:tcPr>
            <w:tcW w:w="342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Notes</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TB patient representation</w:t>
            </w:r>
          </w:p>
        </w:tc>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 xml:space="preserve">Patient class with 9 </w:t>
            </w:r>
            <w:proofErr w:type="gramStart"/>
            <w:r>
              <w:rPr>
                <w:color w:val="1A202C"/>
                <w:sz w:val="19"/>
                <w:szCs w:val="19"/>
              </w:rPr>
              <w:t>data</w:t>
            </w:r>
            <w:proofErr w:type="gramEnd"/>
            <w:r>
              <w:rPr>
                <w:color w:val="1A202C"/>
                <w:sz w:val="19"/>
                <w:szCs w:val="19"/>
              </w:rPr>
              <w:t xml:space="preserve"> properties</w:t>
            </w:r>
          </w:p>
        </w:tc>
        <w:tc>
          <w:tcPr>
            <w:tcW w:w="34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Extended with age, gender, riskLevel, feverStatus, symptomDuration</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Symptom modelling</w:t>
            </w:r>
          </w:p>
        </w:tc>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Symptom class — 103 named individuals</w:t>
            </w:r>
          </w:p>
        </w:tc>
        <w:tc>
          <w:tcPr>
            <w:tcW w:w="34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Generalized from TB-specific to all 50 diseases</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Diagnostic procedure classes</w:t>
            </w:r>
          </w:p>
        </w:tc>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DiagnosticTest — 25 named individuals</w:t>
            </w:r>
          </w:p>
        </w:tc>
        <w:tc>
          <w:tcPr>
            <w:tcW w:w="34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Extended from sputum-only to 25 test types</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Clinical alert representation</w:t>
            </w:r>
          </w:p>
        </w:tc>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ClinicalAlert — 12 named individuals</w:t>
            </w:r>
          </w:p>
        </w:tc>
        <w:tc>
          <w:tcPr>
            <w:tcW w:w="34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 xml:space="preserve">Each alert carries hasAlertMessage </w:t>
            </w:r>
            <w:proofErr w:type="gramStart"/>
            <w:r>
              <w:rPr>
                <w:color w:val="1A202C"/>
                <w:sz w:val="19"/>
                <w:szCs w:val="19"/>
              </w:rPr>
              <w:t>data</w:t>
            </w:r>
            <w:proofErr w:type="gramEnd"/>
            <w:r>
              <w:rPr>
                <w:color w:val="1A202C"/>
                <w:sz w:val="19"/>
                <w:szCs w:val="19"/>
              </w:rPr>
              <w:t xml:space="preserve"> property</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Clinical workflow entities</w:t>
            </w:r>
          </w:p>
        </w:tc>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DiagnosticRecommendation — 12 individuals</w:t>
            </w:r>
          </w:p>
        </w:tc>
        <w:tc>
          <w:tcPr>
            <w:tcW w:w="34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Linked to patients via hasRecommendation object property</w:t>
            </w:r>
          </w:p>
        </w:tc>
      </w:tr>
    </w:tbl>
    <w:p w:rsidR="00B4650D" w:rsidRDefault="00B4650D">
      <w:pPr>
        <w:spacing w:after="120"/>
      </w:pPr>
    </w:p>
    <w:p w:rsidR="00B4650D" w:rsidRDefault="003251EB">
      <w:pPr>
        <w:pStyle w:val="Balk2"/>
      </w:pPr>
      <w:r>
        <w:t xml:space="preserve">3.2 Newly Added Classes </w:t>
      </w:r>
    </w:p>
    <w:p w:rsidR="00B4650D" w:rsidRDefault="003251EB">
      <w:pPr>
        <w:spacing w:after="160" w:line="276" w:lineRule="auto"/>
        <w:jc w:val="both"/>
      </w:pPr>
      <w:r>
        <w:rPr>
          <w:color w:val="1A202C"/>
        </w:rPr>
        <w:t>Six new OWL classes were added to the ontology in direct response to the paper's clinical reasoning architecture:</w:t>
      </w:r>
    </w:p>
    <w:p w:rsidR="00B4650D" w:rsidRDefault="00B4650D">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80"/>
        <w:gridCol w:w="3780"/>
      </w:tblGrid>
      <w:tr w:rsidR="00B4650D">
        <w:trPr>
          <w:tblHeader/>
        </w:trPr>
        <w:tc>
          <w:tcPr>
            <w:tcW w:w="27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Class</w:t>
            </w:r>
          </w:p>
        </w:tc>
        <w:tc>
          <w:tcPr>
            <w:tcW w:w="288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Inspiration from Paper</w:t>
            </w:r>
          </w:p>
        </w:tc>
        <w:tc>
          <w:tcPr>
            <w:tcW w:w="378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Role in Project</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ClinicalRule</w:t>
            </w:r>
          </w:p>
        </w:tc>
        <w:tc>
          <w:tcPr>
            <w:tcW w:w="288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SWRL rule-based reasoning layer</w:t>
            </w:r>
          </w:p>
        </w:tc>
        <w:tc>
          <w:tcPr>
            <w:tcW w:w="378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Represents clinical reasoning rules; used by SWRLTab in Protégé</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DiagnosticTest</w:t>
            </w:r>
          </w:p>
        </w:tc>
        <w:tc>
          <w:tcPr>
            <w:tcW w:w="288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Diagnostic test recommendation inference</w:t>
            </w:r>
          </w:p>
        </w:tc>
        <w:tc>
          <w:tcPr>
            <w:tcW w:w="378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Target of requiresTest object property; 25 named individuals</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RiskAssessment</w:t>
            </w:r>
          </w:p>
        </w:tc>
        <w:tc>
          <w:tcPr>
            <w:tcW w:w="288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Patient risk-level classification</w:t>
            </w:r>
          </w:p>
        </w:tc>
        <w:tc>
          <w:tcPr>
            <w:tcW w:w="378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Linked to Patient via hasRiskAssessment; supports risk-level inference</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ClinicalAlert</w:t>
            </w:r>
          </w:p>
        </w:tc>
        <w:tc>
          <w:tcPr>
            <w:tcW w:w="288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Alert generation from ontology events</w:t>
            </w:r>
          </w:p>
        </w:tc>
        <w:tc>
          <w:tcPr>
            <w:tcW w:w="378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Carries hasAlertMessage; triggered by triggersAlert object property</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PatientObservation</w:t>
            </w:r>
          </w:p>
        </w:tc>
        <w:tc>
          <w:tcPr>
            <w:tcW w:w="288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 xml:space="preserve">Structured patient observation </w:t>
            </w:r>
            <w:proofErr w:type="gramStart"/>
            <w:r>
              <w:rPr>
                <w:color w:val="1A202C"/>
                <w:sz w:val="19"/>
                <w:szCs w:val="19"/>
              </w:rPr>
              <w:t>data</w:t>
            </w:r>
            <w:proofErr w:type="gramEnd"/>
          </w:p>
        </w:tc>
        <w:tc>
          <w:tcPr>
            <w:tcW w:w="378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 xml:space="preserve">Linked via basedOnObservation; extensible for temporal </w:t>
            </w:r>
            <w:proofErr w:type="gramStart"/>
            <w:r>
              <w:rPr>
                <w:color w:val="1A202C"/>
                <w:sz w:val="19"/>
                <w:szCs w:val="19"/>
              </w:rPr>
              <w:t>data</w:t>
            </w:r>
            <w:proofErr w:type="gramEnd"/>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DiagnosticRecommendation</w:t>
            </w:r>
          </w:p>
        </w:tc>
        <w:tc>
          <w:tcPr>
            <w:tcW w:w="288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Automated recommendation generation</w:t>
            </w:r>
          </w:p>
        </w:tc>
        <w:tc>
          <w:tcPr>
            <w:tcW w:w="378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Assigned to patients via hasRecommendation; 12 named individuals</w:t>
            </w:r>
          </w:p>
        </w:tc>
      </w:tr>
    </w:tbl>
    <w:p w:rsidR="00B4650D" w:rsidRDefault="00B4650D">
      <w:pPr>
        <w:spacing w:after="120"/>
      </w:pPr>
    </w:p>
    <w:p w:rsidR="00B4650D" w:rsidRDefault="003251EB">
      <w:pPr>
        <w:pStyle w:val="Balk2"/>
      </w:pPr>
      <w:r>
        <w:t>3.3 Newly Added Object Properties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57"/>
        <w:gridCol w:w="4203"/>
      </w:tblGrid>
      <w:tr w:rsidR="00B4650D">
        <w:trPr>
          <w:tblHeader/>
        </w:trPr>
        <w:tc>
          <w:tcPr>
            <w:tcW w:w="252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Property</w:t>
            </w:r>
          </w:p>
        </w:tc>
        <w:tc>
          <w:tcPr>
            <w:tcW w:w="252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Domain → Range</w:t>
            </w:r>
          </w:p>
        </w:tc>
        <w:tc>
          <w:tcPr>
            <w:tcW w:w="432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Inspired by</w:t>
            </w:r>
          </w:p>
        </w:tc>
      </w:tr>
      <w:tr w:rsidR="00B4650D">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requiresTest</w:t>
            </w:r>
          </w:p>
        </w:tc>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Patient → DiagnosticTest</w:t>
            </w:r>
          </w:p>
        </w:tc>
        <w:tc>
          <w:tcPr>
            <w:tcW w:w="43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Sputum test recommendation inference in TB ontology</w:t>
            </w:r>
          </w:p>
        </w:tc>
      </w:tr>
      <w:tr w:rsidR="00B4650D">
        <w:tc>
          <w:tcPr>
            <w:tcW w:w="25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hasRiskAssessment</w:t>
            </w:r>
          </w:p>
        </w:tc>
        <w:tc>
          <w:tcPr>
            <w:tcW w:w="25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Patient → RiskAssessment</w:t>
            </w:r>
          </w:p>
        </w:tc>
        <w:tc>
          <w:tcPr>
            <w:tcW w:w="43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Risk-level classification pipeline in paper's architecture</w:t>
            </w:r>
          </w:p>
        </w:tc>
      </w:tr>
      <w:tr w:rsidR="00B4650D">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triggersAlert</w:t>
            </w:r>
          </w:p>
        </w:tc>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Patient → ClinicalAlert</w:t>
            </w:r>
          </w:p>
        </w:tc>
        <w:tc>
          <w:tcPr>
            <w:tcW w:w="43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Alert generation from CEP and SWRL reasoning in paper</w:t>
            </w:r>
          </w:p>
        </w:tc>
      </w:tr>
      <w:tr w:rsidR="00B4650D">
        <w:tc>
          <w:tcPr>
            <w:tcW w:w="25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basedOnObservation</w:t>
            </w:r>
          </w:p>
        </w:tc>
        <w:tc>
          <w:tcPr>
            <w:tcW w:w="25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Patient → PatientObservation</w:t>
            </w:r>
          </w:p>
        </w:tc>
        <w:tc>
          <w:tcPr>
            <w:tcW w:w="43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 xml:space="preserve">Structured observation </w:t>
            </w:r>
            <w:proofErr w:type="gramStart"/>
            <w:r>
              <w:rPr>
                <w:color w:val="1A202C"/>
                <w:sz w:val="19"/>
                <w:szCs w:val="19"/>
              </w:rPr>
              <w:t>data</w:t>
            </w:r>
            <w:proofErr w:type="gramEnd"/>
            <w:r>
              <w:rPr>
                <w:color w:val="1A202C"/>
                <w:sz w:val="19"/>
                <w:szCs w:val="19"/>
              </w:rPr>
              <w:t xml:space="preserve"> modelling in clinical workflows</w:t>
            </w:r>
          </w:p>
        </w:tc>
      </w:tr>
      <w:tr w:rsidR="00B4650D">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hasRecommendation</w:t>
            </w:r>
          </w:p>
        </w:tc>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Patient → DiagnosticRecommendation</w:t>
            </w:r>
          </w:p>
        </w:tc>
        <w:tc>
          <w:tcPr>
            <w:tcW w:w="43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Automated clinical recommendation generation in paper</w:t>
            </w:r>
          </w:p>
        </w:tc>
      </w:tr>
    </w:tbl>
    <w:p w:rsidR="00B4650D" w:rsidRDefault="00B4650D">
      <w:pPr>
        <w:spacing w:after="120"/>
      </w:pPr>
    </w:p>
    <w:p w:rsidR="00B4650D" w:rsidRDefault="003251EB">
      <w:pPr>
        <w:pStyle w:val="Balk2"/>
      </w:pPr>
      <w:r>
        <w:t>3.4 Newly Added Data Properties</w:t>
      </w:r>
    </w:p>
    <w:p w:rsidR="00B4650D" w:rsidRDefault="003251EB">
      <w:pPr>
        <w:spacing w:after="160" w:line="276" w:lineRule="auto"/>
        <w:jc w:val="both"/>
      </w:pPr>
      <w:r>
        <w:rPr>
          <w:color w:val="1A202C"/>
        </w:rPr>
        <w:t xml:space="preserve">The paper defines explicit </w:t>
      </w:r>
      <w:proofErr w:type="gramStart"/>
      <w:r>
        <w:rPr>
          <w:color w:val="1A202C"/>
        </w:rPr>
        <w:t>data</w:t>
      </w:r>
      <w:proofErr w:type="gramEnd"/>
      <w:r>
        <w:rPr>
          <w:color w:val="1A202C"/>
        </w:rPr>
        <w:t xml:space="preserve"> properties with OWL domain and range constraints for representing patient clinical measurements. The following </w:t>
      </w:r>
      <w:proofErr w:type="gramStart"/>
      <w:r>
        <w:rPr>
          <w:color w:val="1A202C"/>
        </w:rPr>
        <w:t>data</w:t>
      </w:r>
      <w:proofErr w:type="gramEnd"/>
      <w:r>
        <w:rPr>
          <w:color w:val="1A202C"/>
        </w:rPr>
        <w:t xml:space="preserve"> properties were adopted and extended with additional properties (hasAge, hasGender) for the broader project scope:</w:t>
      </w:r>
    </w:p>
    <w:p w:rsidR="00B4650D" w:rsidRDefault="00B4650D">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40"/>
        <w:gridCol w:w="2700"/>
        <w:gridCol w:w="2520"/>
      </w:tblGrid>
      <w:tr w:rsidR="00B4650D">
        <w:trPr>
          <w:tblHeader/>
        </w:trPr>
        <w:tc>
          <w:tcPr>
            <w:tcW w:w="27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Property</w:t>
            </w:r>
          </w:p>
        </w:tc>
        <w:tc>
          <w:tcPr>
            <w:tcW w:w="144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Domain</w:t>
            </w:r>
          </w:p>
        </w:tc>
        <w:tc>
          <w:tcPr>
            <w:tcW w:w="27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Range</w:t>
            </w:r>
          </w:p>
        </w:tc>
        <w:tc>
          <w:tcPr>
            <w:tcW w:w="252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Source</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hasSymptomDuration</w:t>
            </w:r>
          </w:p>
        </w:tc>
        <w:tc>
          <w:tcPr>
            <w:tcW w:w="14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Patient</w:t>
            </w:r>
          </w:p>
        </w:tc>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proofErr w:type="gramStart"/>
            <w:r>
              <w:rPr>
                <w:color w:val="1A202C"/>
                <w:sz w:val="19"/>
                <w:szCs w:val="19"/>
              </w:rPr>
              <w:t>xsd:integer</w:t>
            </w:r>
            <w:proofErr w:type="gramEnd"/>
            <w:r>
              <w:rPr>
                <w:color w:val="1A202C"/>
                <w:sz w:val="19"/>
                <w:szCs w:val="19"/>
              </w:rPr>
              <w:t xml:space="preserve"> (days)</w:t>
            </w:r>
          </w:p>
        </w:tc>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TB ontology — used in SWRL sputum test rule</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hasFeverStatus</w:t>
            </w:r>
          </w:p>
        </w:tc>
        <w:tc>
          <w:tcPr>
            <w:tcW w:w="14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Patient</w:t>
            </w:r>
          </w:p>
        </w:tc>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proofErr w:type="gramStart"/>
            <w:r>
              <w:rPr>
                <w:color w:val="1A202C"/>
                <w:sz w:val="19"/>
                <w:szCs w:val="19"/>
              </w:rPr>
              <w:t>xsd:string</w:t>
            </w:r>
            <w:proofErr w:type="gramEnd"/>
            <w:r>
              <w:rPr>
                <w:color w:val="1A202C"/>
                <w:sz w:val="19"/>
                <w:szCs w:val="19"/>
              </w:rPr>
              <w:t xml:space="preserve"> (Yes | No)</w:t>
            </w:r>
          </w:p>
        </w:tc>
        <w:tc>
          <w:tcPr>
            <w:tcW w:w="25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TB ontology — used in SWRL sputum test rule</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hasRiskLevel</w:t>
            </w:r>
          </w:p>
        </w:tc>
        <w:tc>
          <w:tcPr>
            <w:tcW w:w="14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Patient</w:t>
            </w:r>
          </w:p>
        </w:tc>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proofErr w:type="gramStart"/>
            <w:r>
              <w:rPr>
                <w:color w:val="1A202C"/>
                <w:sz w:val="19"/>
                <w:szCs w:val="19"/>
              </w:rPr>
              <w:t>xsd:string</w:t>
            </w:r>
            <w:proofErr w:type="gramEnd"/>
            <w:r>
              <w:rPr>
                <w:color w:val="1A202C"/>
                <w:sz w:val="19"/>
                <w:szCs w:val="19"/>
              </w:rPr>
              <w:t xml:space="preserve"> (Low | Medium | High)</w:t>
            </w:r>
          </w:p>
        </w:tc>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TB risk classification in paper</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hasAlertMessage</w:t>
            </w:r>
          </w:p>
        </w:tc>
        <w:tc>
          <w:tcPr>
            <w:tcW w:w="14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ClinicalAlert</w:t>
            </w:r>
          </w:p>
        </w:tc>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proofErr w:type="gramStart"/>
            <w:r>
              <w:rPr>
                <w:color w:val="1A202C"/>
                <w:sz w:val="19"/>
                <w:szCs w:val="19"/>
              </w:rPr>
              <w:t>xsd:string</w:t>
            </w:r>
            <w:proofErr w:type="gramEnd"/>
            <w:r>
              <w:rPr>
                <w:color w:val="1A202C"/>
                <w:sz w:val="19"/>
                <w:szCs w:val="19"/>
              </w:rPr>
              <w:t xml:space="preserve"> (min 10 chars)</w:t>
            </w:r>
          </w:p>
        </w:tc>
        <w:tc>
          <w:tcPr>
            <w:tcW w:w="25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Clinical alert content representation</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hasAge</w:t>
            </w:r>
          </w:p>
        </w:tc>
        <w:tc>
          <w:tcPr>
            <w:tcW w:w="14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Patient</w:t>
            </w:r>
          </w:p>
        </w:tc>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proofErr w:type="gramStart"/>
            <w:r>
              <w:rPr>
                <w:color w:val="1A202C"/>
                <w:sz w:val="19"/>
                <w:szCs w:val="19"/>
              </w:rPr>
              <w:t>xsd:integer</w:t>
            </w:r>
            <w:proofErr w:type="gramEnd"/>
            <w:r>
              <w:rPr>
                <w:color w:val="1A202C"/>
                <w:sz w:val="19"/>
                <w:szCs w:val="19"/>
              </w:rPr>
              <w:t xml:space="preserve"> (0–130)</w:t>
            </w:r>
          </w:p>
        </w:tc>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Project extension — not in paper</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hasGender</w:t>
            </w:r>
          </w:p>
        </w:tc>
        <w:tc>
          <w:tcPr>
            <w:tcW w:w="14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Patient</w:t>
            </w:r>
          </w:p>
        </w:tc>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proofErr w:type="gramStart"/>
            <w:r>
              <w:rPr>
                <w:color w:val="1A202C"/>
                <w:sz w:val="19"/>
                <w:szCs w:val="19"/>
              </w:rPr>
              <w:t>xsd:string</w:t>
            </w:r>
            <w:proofErr w:type="gramEnd"/>
            <w:r>
              <w:rPr>
                <w:color w:val="1A202C"/>
                <w:sz w:val="19"/>
                <w:szCs w:val="19"/>
              </w:rPr>
              <w:t xml:space="preserve"> (Male | Female | Other)</w:t>
            </w:r>
          </w:p>
        </w:tc>
        <w:tc>
          <w:tcPr>
            <w:tcW w:w="25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Project extension — not in paper</w:t>
            </w:r>
          </w:p>
        </w:tc>
      </w:tr>
    </w:tbl>
    <w:p w:rsidR="00B4650D" w:rsidRDefault="00B4650D">
      <w:pPr>
        <w:spacing w:after="120"/>
      </w:pPr>
    </w:p>
    <w:p w:rsidR="00B4650D" w:rsidRDefault="003251EB">
      <w:pPr>
        <w:pStyle w:val="Balk1"/>
      </w:pPr>
      <w:r>
        <w:t>4. SWRL-Based Clinical Reasoning</w:t>
      </w:r>
    </w:p>
    <w:p w:rsidR="00B4650D" w:rsidRDefault="003251EB">
      <w:pPr>
        <w:spacing w:after="160" w:line="276" w:lineRule="auto"/>
        <w:jc w:val="both"/>
      </w:pPr>
      <w:r>
        <w:rPr>
          <w:color w:val="1A202C"/>
        </w:rPr>
        <w:t xml:space="preserve">The paper uses SWRL rules as the primary mechanism for clinical inference, classifying patients into TB risk stages and automatically recommending diagnostic procedures based on symptom </w:t>
      </w:r>
      <w:proofErr w:type="gramStart"/>
      <w:r>
        <w:rPr>
          <w:color w:val="1A202C"/>
        </w:rPr>
        <w:t>data</w:t>
      </w:r>
      <w:proofErr w:type="gramEnd"/>
      <w:r>
        <w:rPr>
          <w:color w:val="1A202C"/>
        </w:rPr>
        <w:t>. This approach was adopted and implemented in the project using Protégé's SWRLTab plugin.</w:t>
      </w:r>
    </w:p>
    <w:p w:rsidR="00B4650D" w:rsidRDefault="00B4650D">
      <w:pPr>
        <w:spacing w:after="120"/>
      </w:pPr>
    </w:p>
    <w:p w:rsidR="00B4650D" w:rsidRDefault="003251EB">
      <w:pPr>
        <w:pStyle w:val="Balk2"/>
      </w:pPr>
      <w:r>
        <w:t>4.1 Implemented SWRL Rule</w:t>
      </w:r>
    </w:p>
    <w:p w:rsidR="00B4650D" w:rsidRDefault="003251EB">
      <w:pPr>
        <w:spacing w:after="160" w:line="276" w:lineRule="auto"/>
        <w:jc w:val="both"/>
      </w:pPr>
      <w:r>
        <w:rPr>
          <w:color w:val="1A202C"/>
        </w:rPr>
        <w:t>The following SWRL rule was implemented, inspired by the paper's tuberculosis sputum test recommendation logic. The rule fires when a patient's symptom duration exceeds 13 days and fever is recorded as positive:</w:t>
      </w:r>
    </w:p>
    <w:p w:rsidR="00B4650D" w:rsidRDefault="00B4650D">
      <w:pPr>
        <w:spacing w:after="120"/>
      </w:pPr>
    </w:p>
    <w:p w:rsidR="00B4650D" w:rsidRDefault="003251EB">
      <w:pPr>
        <w:shd w:val="clear" w:color="auto" w:fill="EDF2F7"/>
        <w:spacing w:before="60" w:after="60"/>
        <w:ind w:left="400"/>
      </w:pPr>
      <w:r>
        <w:rPr>
          <w:rFonts w:ascii="Courier New" w:eastAsia="Courier New" w:hAnsi="Courier New" w:cs="Courier New"/>
          <w:color w:val="2D3748"/>
          <w:sz w:val="18"/>
          <w:szCs w:val="18"/>
        </w:rPr>
        <w:t>Patient(?p)</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 hasSymptomDuration(?p, ?d)</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 </w:t>
      </w:r>
      <w:proofErr w:type="gramStart"/>
      <w:r>
        <w:rPr>
          <w:rFonts w:ascii="Courier New" w:eastAsia="Courier New" w:hAnsi="Courier New" w:cs="Courier New"/>
          <w:color w:val="2D3748"/>
          <w:sz w:val="18"/>
          <w:szCs w:val="18"/>
        </w:rPr>
        <w:t>swrlb:greaterThan</w:t>
      </w:r>
      <w:proofErr w:type="gramEnd"/>
      <w:r>
        <w:rPr>
          <w:rFonts w:ascii="Courier New" w:eastAsia="Courier New" w:hAnsi="Courier New" w:cs="Courier New"/>
          <w:color w:val="2D3748"/>
          <w:sz w:val="18"/>
          <w:szCs w:val="18"/>
        </w:rPr>
        <w:t>(?d, 13)</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 hasFeverStatus(?p, "Yes")</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-&gt; requiresTest(?p, SputumTest)</w:t>
      </w:r>
    </w:p>
    <w:p w:rsidR="00B4650D" w:rsidRDefault="00B4650D">
      <w:pPr>
        <w:spacing w:after="120"/>
      </w:pPr>
    </w:p>
    <w:p w:rsidR="00B4650D" w:rsidRDefault="003251EB">
      <w:pPr>
        <w:spacing w:after="160" w:line="276" w:lineRule="auto"/>
        <w:jc w:val="both"/>
      </w:pPr>
      <w:r>
        <w:rPr>
          <w:color w:val="1A202C"/>
        </w:rPr>
        <w:t>In the v4 ABox, this rule fires for the following patient individuals:</w:t>
      </w:r>
    </w:p>
    <w:p w:rsidR="00B4650D" w:rsidRDefault="00B4650D">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2255"/>
        <w:gridCol w:w="1783"/>
        <w:gridCol w:w="1325"/>
        <w:gridCol w:w="2332"/>
      </w:tblGrid>
      <w:tr w:rsidR="00B4650D">
        <w:trPr>
          <w:tblHeader/>
        </w:trPr>
        <w:tc>
          <w:tcPr>
            <w:tcW w:w="18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Patient</w:t>
            </w:r>
          </w:p>
        </w:tc>
        <w:tc>
          <w:tcPr>
            <w:tcW w:w="18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hasSymptomDuration</w:t>
            </w:r>
          </w:p>
        </w:tc>
        <w:tc>
          <w:tcPr>
            <w:tcW w:w="18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hasFeverStatus</w:t>
            </w:r>
          </w:p>
        </w:tc>
        <w:tc>
          <w:tcPr>
            <w:tcW w:w="144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Rule Fires</w:t>
            </w:r>
          </w:p>
        </w:tc>
        <w:tc>
          <w:tcPr>
            <w:tcW w:w="252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Assignment</w:t>
            </w:r>
          </w:p>
        </w:tc>
      </w:tr>
      <w:tr w:rsidR="00B4650D">
        <w:tc>
          <w:tcPr>
            <w:tcW w:w="18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Ali</w:t>
            </w:r>
          </w:p>
        </w:tc>
        <w:tc>
          <w:tcPr>
            <w:tcW w:w="18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14 days</w:t>
            </w:r>
          </w:p>
        </w:tc>
        <w:tc>
          <w:tcPr>
            <w:tcW w:w="18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Yes</w:t>
            </w:r>
          </w:p>
        </w:tc>
        <w:tc>
          <w:tcPr>
            <w:tcW w:w="14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w:t>
            </w:r>
          </w:p>
        </w:tc>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requiresTest SputumTest</w:t>
            </w:r>
          </w:p>
        </w:tc>
      </w:tr>
      <w:tr w:rsidR="00B4650D">
        <w:tc>
          <w:tcPr>
            <w:tcW w:w="18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Selin</w:t>
            </w:r>
          </w:p>
        </w:tc>
        <w:tc>
          <w:tcPr>
            <w:tcW w:w="18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45 days</w:t>
            </w:r>
          </w:p>
        </w:tc>
        <w:tc>
          <w:tcPr>
            <w:tcW w:w="18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Yes</w:t>
            </w:r>
          </w:p>
        </w:tc>
        <w:tc>
          <w:tcPr>
            <w:tcW w:w="14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w:t>
            </w:r>
          </w:p>
        </w:tc>
        <w:tc>
          <w:tcPr>
            <w:tcW w:w="25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requiresTest SputumTest</w:t>
            </w:r>
          </w:p>
        </w:tc>
      </w:tr>
      <w:tr w:rsidR="00B4650D">
        <w:tc>
          <w:tcPr>
            <w:tcW w:w="18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Gulsah</w:t>
            </w:r>
          </w:p>
        </w:tc>
        <w:tc>
          <w:tcPr>
            <w:tcW w:w="18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35 days</w:t>
            </w:r>
          </w:p>
        </w:tc>
        <w:tc>
          <w:tcPr>
            <w:tcW w:w="18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Yes</w:t>
            </w:r>
          </w:p>
        </w:tc>
        <w:tc>
          <w:tcPr>
            <w:tcW w:w="14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w:t>
            </w:r>
          </w:p>
        </w:tc>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requiresTest SputumTest</w:t>
            </w:r>
          </w:p>
        </w:tc>
      </w:tr>
      <w:tr w:rsidR="00B4650D">
        <w:tc>
          <w:tcPr>
            <w:tcW w:w="18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Mehmet</w:t>
            </w:r>
          </w:p>
        </w:tc>
        <w:tc>
          <w:tcPr>
            <w:tcW w:w="18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30 days</w:t>
            </w:r>
          </w:p>
        </w:tc>
        <w:tc>
          <w:tcPr>
            <w:tcW w:w="18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No</w:t>
            </w:r>
          </w:p>
        </w:tc>
        <w:tc>
          <w:tcPr>
            <w:tcW w:w="14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w:t>
            </w:r>
          </w:p>
        </w:tc>
        <w:tc>
          <w:tcPr>
            <w:tcW w:w="252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Rule does not fire (fever = No)</w:t>
            </w:r>
          </w:p>
        </w:tc>
      </w:tr>
      <w:tr w:rsidR="00B4650D">
        <w:tc>
          <w:tcPr>
            <w:tcW w:w="18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Fatma</w:t>
            </w:r>
          </w:p>
        </w:tc>
        <w:tc>
          <w:tcPr>
            <w:tcW w:w="18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180 days</w:t>
            </w:r>
          </w:p>
        </w:tc>
        <w:tc>
          <w:tcPr>
            <w:tcW w:w="18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No</w:t>
            </w:r>
          </w:p>
        </w:tc>
        <w:tc>
          <w:tcPr>
            <w:tcW w:w="14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w:t>
            </w:r>
          </w:p>
        </w:tc>
        <w:tc>
          <w:tcPr>
            <w:tcW w:w="252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Rule does not fire (fever = No)</w:t>
            </w:r>
          </w:p>
        </w:tc>
      </w:tr>
    </w:tbl>
    <w:p w:rsidR="00B4650D" w:rsidRDefault="00B4650D">
      <w:pPr>
        <w:spacing w:after="120"/>
      </w:pPr>
    </w:p>
    <w:p w:rsidR="00B4650D" w:rsidRDefault="003251EB">
      <w:pPr>
        <w:pStyle w:val="Balk2"/>
      </w:pPr>
      <w:r>
        <w:t>4.2 SPARQL Simulation of SWRL Rule (Q10)</w:t>
      </w:r>
    </w:p>
    <w:p w:rsidR="00B4650D" w:rsidRDefault="003251EB">
      <w:pPr>
        <w:spacing w:after="160" w:line="276" w:lineRule="auto"/>
        <w:jc w:val="both"/>
      </w:pPr>
      <w:r>
        <w:rPr>
          <w:color w:val="1A202C"/>
        </w:rPr>
        <w:t>In the RDFLib environment, where SWRL rules are not natively evaluated, the rule conditions are simulated using SPARQL FILTER clauses. This allows the same inference logic to be verified programmatically:</w:t>
      </w:r>
    </w:p>
    <w:p w:rsidR="00B4650D" w:rsidRDefault="00B4650D">
      <w:pPr>
        <w:spacing w:after="120"/>
      </w:pPr>
    </w:p>
    <w:p w:rsidR="00B4650D" w:rsidRDefault="003251EB">
      <w:pPr>
        <w:shd w:val="clear" w:color="auto" w:fill="EDF2F7"/>
        <w:spacing w:before="60" w:after="60"/>
        <w:ind w:left="400"/>
      </w:pPr>
      <w:proofErr w:type="gramStart"/>
      <w:r>
        <w:rPr>
          <w:rFonts w:ascii="Courier New" w:eastAsia="Courier New" w:hAnsi="Courier New" w:cs="Courier New"/>
          <w:color w:val="2D3748"/>
          <w:sz w:val="18"/>
          <w:szCs w:val="18"/>
        </w:rPr>
        <w:t>SELECT ?patientLabel</w:t>
      </w:r>
      <w:proofErr w:type="gramEnd"/>
      <w:r>
        <w:rPr>
          <w:rFonts w:ascii="Courier New" w:eastAsia="Courier New" w:hAnsi="Courier New" w:cs="Courier New"/>
          <w:color w:val="2D3748"/>
          <w:sz w:val="18"/>
          <w:szCs w:val="18"/>
        </w:rPr>
        <w:t xml:space="preserve"> ?duration ?feverStatus ?riskLevel</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WHERE </w:t>
      </w:r>
      <w:proofErr w:type="gramStart"/>
      <w:r>
        <w:rPr>
          <w:rFonts w:ascii="Courier New" w:eastAsia="Courier New" w:hAnsi="Courier New" w:cs="Courier New"/>
          <w:color w:val="2D3748"/>
          <w:sz w:val="18"/>
          <w:szCs w:val="18"/>
        </w:rPr>
        <w:t>{</w:t>
      </w:r>
      <w:proofErr w:type="gramEnd"/>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?p </w:t>
      </w:r>
      <w:proofErr w:type="gramStart"/>
      <w:r>
        <w:rPr>
          <w:rFonts w:ascii="Courier New" w:eastAsia="Courier New" w:hAnsi="Courier New" w:cs="Courier New"/>
          <w:color w:val="2D3748"/>
          <w:sz w:val="18"/>
          <w:szCs w:val="18"/>
        </w:rPr>
        <w:t>rdf:type</w:t>
      </w:r>
      <w:proofErr w:type="gramEnd"/>
      <w:r>
        <w:rPr>
          <w:rFonts w:ascii="Courier New" w:eastAsia="Courier New" w:hAnsi="Courier New" w:cs="Courier New"/>
          <w:color w:val="2D3748"/>
          <w:sz w:val="18"/>
          <w:szCs w:val="18"/>
        </w:rPr>
        <w:t xml:space="preserve"> hdo:Patient .</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?p </w:t>
      </w:r>
      <w:proofErr w:type="gramStart"/>
      <w:r>
        <w:rPr>
          <w:rFonts w:ascii="Courier New" w:eastAsia="Courier New" w:hAnsi="Courier New" w:cs="Courier New"/>
          <w:color w:val="2D3748"/>
          <w:sz w:val="18"/>
          <w:szCs w:val="18"/>
        </w:rPr>
        <w:t>rdfs:label</w:t>
      </w:r>
      <w:proofErr w:type="gramEnd"/>
      <w:r>
        <w:rPr>
          <w:rFonts w:ascii="Courier New" w:eastAsia="Courier New" w:hAnsi="Courier New" w:cs="Courier New"/>
          <w:color w:val="2D3748"/>
          <w:sz w:val="18"/>
          <w:szCs w:val="18"/>
        </w:rPr>
        <w:t xml:space="preserve"> ?patientLabel .</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?p </w:t>
      </w:r>
      <w:proofErr w:type="gramStart"/>
      <w:r>
        <w:rPr>
          <w:rFonts w:ascii="Courier New" w:eastAsia="Courier New" w:hAnsi="Courier New" w:cs="Courier New"/>
          <w:color w:val="2D3748"/>
          <w:sz w:val="18"/>
          <w:szCs w:val="18"/>
        </w:rPr>
        <w:t>hdo:hasSymptomDuration</w:t>
      </w:r>
      <w:proofErr w:type="gramEnd"/>
      <w:r>
        <w:rPr>
          <w:rFonts w:ascii="Courier New" w:eastAsia="Courier New" w:hAnsi="Courier New" w:cs="Courier New"/>
          <w:color w:val="2D3748"/>
          <w:sz w:val="18"/>
          <w:szCs w:val="18"/>
        </w:rPr>
        <w:t xml:space="preserve"> ?duration .</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?p </w:t>
      </w:r>
      <w:proofErr w:type="gramStart"/>
      <w:r>
        <w:rPr>
          <w:rFonts w:ascii="Courier New" w:eastAsia="Courier New" w:hAnsi="Courier New" w:cs="Courier New"/>
          <w:color w:val="2D3748"/>
          <w:sz w:val="18"/>
          <w:szCs w:val="18"/>
        </w:rPr>
        <w:t>hdo:hasFeverStatus</w:t>
      </w:r>
      <w:proofErr w:type="gramEnd"/>
      <w:r>
        <w:rPr>
          <w:rFonts w:ascii="Courier New" w:eastAsia="Courier New" w:hAnsi="Courier New" w:cs="Courier New"/>
          <w:color w:val="2D3748"/>
          <w:sz w:val="18"/>
          <w:szCs w:val="18"/>
        </w:rPr>
        <w:t xml:space="preserve"> ?feverStatus .</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?p </w:t>
      </w:r>
      <w:proofErr w:type="gramStart"/>
      <w:r>
        <w:rPr>
          <w:rFonts w:ascii="Courier New" w:eastAsia="Courier New" w:hAnsi="Courier New" w:cs="Courier New"/>
          <w:color w:val="2D3748"/>
          <w:sz w:val="18"/>
          <w:szCs w:val="18"/>
        </w:rPr>
        <w:t>hdo:hasRiskLevel</w:t>
      </w:r>
      <w:proofErr w:type="gramEnd"/>
      <w:r>
        <w:rPr>
          <w:rFonts w:ascii="Courier New" w:eastAsia="Courier New" w:hAnsi="Courier New" w:cs="Courier New"/>
          <w:color w:val="2D3748"/>
          <w:sz w:val="18"/>
          <w:szCs w:val="18"/>
        </w:rPr>
        <w:t xml:space="preserve"> ?riskLevel .</w:t>
      </w:r>
    </w:p>
    <w:p w:rsidR="00B4650D" w:rsidRDefault="003251EB">
      <w:pPr>
        <w:shd w:val="clear" w:color="auto" w:fill="EDF2F7"/>
        <w:spacing w:before="60" w:after="60"/>
        <w:ind w:left="400"/>
      </w:pPr>
      <w:r>
        <w:rPr>
          <w:rFonts w:ascii="Courier New" w:eastAsia="Courier New" w:hAnsi="Courier New" w:cs="Courier New"/>
          <w:color w:val="2D3748"/>
          <w:sz w:val="18"/>
          <w:szCs w:val="18"/>
        </w:rPr>
        <w:t xml:space="preserve">  FILTER (?duration &gt; 13 &amp;&amp; ?feverStatus = "Yes")</w:t>
      </w:r>
    </w:p>
    <w:p w:rsidR="00B4650D" w:rsidRDefault="003251EB">
      <w:pPr>
        <w:shd w:val="clear" w:color="auto" w:fill="EDF2F7"/>
        <w:spacing w:before="60" w:after="60"/>
        <w:ind w:left="400"/>
      </w:pPr>
      <w:proofErr w:type="gramStart"/>
      <w:r>
        <w:rPr>
          <w:rFonts w:ascii="Courier New" w:eastAsia="Courier New" w:hAnsi="Courier New" w:cs="Courier New"/>
          <w:color w:val="2D3748"/>
          <w:sz w:val="18"/>
          <w:szCs w:val="18"/>
        </w:rPr>
        <w:t>}</w:t>
      </w:r>
      <w:proofErr w:type="gramEnd"/>
    </w:p>
    <w:p w:rsidR="00B4650D" w:rsidRDefault="003251EB">
      <w:pPr>
        <w:shd w:val="clear" w:color="auto" w:fill="EDF2F7"/>
        <w:spacing w:before="60" w:after="60"/>
        <w:ind w:left="400"/>
      </w:pPr>
      <w:r>
        <w:rPr>
          <w:rFonts w:ascii="Courier New" w:eastAsia="Courier New" w:hAnsi="Courier New" w:cs="Courier New"/>
          <w:color w:val="2D3748"/>
          <w:sz w:val="18"/>
          <w:szCs w:val="18"/>
        </w:rPr>
        <w:t>ORDER BY DESC(?duration)</w:t>
      </w:r>
    </w:p>
    <w:p w:rsidR="00B4650D" w:rsidRDefault="00B4650D">
      <w:pPr>
        <w:spacing w:after="120"/>
      </w:pPr>
    </w:p>
    <w:p w:rsidR="00B4650D" w:rsidRDefault="003251EB">
      <w:pPr>
        <w:spacing w:after="160" w:line="276" w:lineRule="auto"/>
        <w:jc w:val="both"/>
      </w:pPr>
      <w:r>
        <w:rPr>
          <w:color w:val="1A202C"/>
        </w:rPr>
        <w:t>Expected result: Ali (14 d, Medium), Selin (45 d, Medium), Gulsah (35 d, High) — 3 rows.</w:t>
      </w:r>
    </w:p>
    <w:p w:rsidR="00B4650D" w:rsidRDefault="00B4650D">
      <w:pPr>
        <w:spacing w:after="120"/>
      </w:pPr>
    </w:p>
    <w:p w:rsidR="00B4650D" w:rsidRDefault="003251EB">
      <w:pPr>
        <w:pStyle w:val="Balk1"/>
      </w:pPr>
      <w:r>
        <w:t>5. OWL Property Chain Reasoning</w:t>
      </w:r>
    </w:p>
    <w:p w:rsidR="00B4650D" w:rsidRDefault="003251EB">
      <w:pPr>
        <w:spacing w:after="160" w:line="276" w:lineRule="auto"/>
        <w:jc w:val="both"/>
      </w:pPr>
      <w:r>
        <w:rPr>
          <w:color w:val="1A202C"/>
        </w:rPr>
        <w:t>Complementing the SWRL-based approach from the paper, the project implements an OWL 2 property chain axiom that enables automated multi-disease differential diagnosis inference. This goes beyond the paper's scope (which focuses on SWRL for a single disease) by applying reasoner-based inference across all 50 diseases simultaneously.</w:t>
      </w:r>
    </w:p>
    <w:p w:rsidR="00B4650D" w:rsidRDefault="00B4650D">
      <w:pPr>
        <w:spacing w:after="120"/>
      </w:pPr>
    </w:p>
    <w:p w:rsidR="00B4650D" w:rsidRDefault="003251EB">
      <w:pPr>
        <w:shd w:val="clear" w:color="auto" w:fill="EDF2F7"/>
        <w:spacing w:before="60" w:after="60"/>
        <w:ind w:left="400"/>
      </w:pPr>
      <w:r>
        <w:rPr>
          <w:rFonts w:ascii="Courier New" w:eastAsia="Courier New" w:hAnsi="Courier New" w:cs="Courier New"/>
          <w:color w:val="2D3748"/>
          <w:sz w:val="18"/>
          <w:szCs w:val="18"/>
        </w:rPr>
        <w:t>reportsSymptom o inverse(hasSymptom) SubPropertyOf: possibleDiagnosis</w:t>
      </w:r>
    </w:p>
    <w:p w:rsidR="00B4650D" w:rsidRDefault="00B4650D">
      <w:pPr>
        <w:spacing w:after="120"/>
      </w:pPr>
    </w:p>
    <w:p w:rsidR="00B4650D" w:rsidRDefault="003251EB">
      <w:pPr>
        <w:spacing w:after="160" w:line="276" w:lineRule="auto"/>
        <w:jc w:val="both"/>
      </w:pPr>
      <w:r>
        <w:rPr>
          <w:color w:val="1A202C"/>
        </w:rPr>
        <w:t>Semantics: for any patient p and disease d, if there exists a symptom s such that p reportsSymptom s and d hasSymptom s, then p possibleDiagnosis d is inferred automatically by the HermiT OWL reasoner in Protégé. No manual diagnostic assertion is made anywhere in the ABox — all possibleDiagnosis triples are produced by the reasoner at runtime.</w:t>
      </w:r>
    </w:p>
    <w:p w:rsidR="00B4650D" w:rsidRDefault="00B4650D">
      <w:pPr>
        <w:spacing w:after="120"/>
      </w:pPr>
    </w:p>
    <w:p w:rsidR="00B4650D" w:rsidRDefault="003251EB">
      <w:pPr>
        <w:pStyle w:val="Balk1"/>
      </w:pPr>
      <w:r>
        <w:t>6. LLM Integration</w:t>
      </w:r>
    </w:p>
    <w:p w:rsidR="00B4650D" w:rsidRDefault="003251EB">
      <w:pPr>
        <w:spacing w:after="160" w:line="276" w:lineRule="auto"/>
        <w:jc w:val="both"/>
      </w:pPr>
      <w:r>
        <w:rPr>
          <w:color w:val="1A202C"/>
        </w:rPr>
        <w:t>The paper proposes LLM integration as a component for generating natural language explanations of ontology-inferred clinical results. The project implements an analogous LLM integration layer using the Claude API (claude-sonnet-4-6), adapted to the context of natural language to SPARQL translation rather than explanation generation.</w:t>
      </w:r>
    </w:p>
    <w:p w:rsidR="00B4650D" w:rsidRDefault="00B4650D">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3060"/>
        <w:gridCol w:w="3240"/>
      </w:tblGrid>
      <w:tr w:rsidR="00B4650D">
        <w:trPr>
          <w:tblHeader/>
        </w:trPr>
        <w:tc>
          <w:tcPr>
            <w:tcW w:w="306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Paper's LLM Role</w:t>
            </w:r>
          </w:p>
        </w:tc>
        <w:tc>
          <w:tcPr>
            <w:tcW w:w="306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Project's LLM Role</w:t>
            </w:r>
          </w:p>
        </w:tc>
        <w:tc>
          <w:tcPr>
            <w:tcW w:w="324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Similarity</w:t>
            </w:r>
          </w:p>
        </w:tc>
      </w:tr>
      <w:tr w:rsidR="00B4650D">
        <w:tc>
          <w:tcPr>
            <w:tcW w:w="30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Generate natural language explanations of inferred TB diagnoses</w:t>
            </w:r>
          </w:p>
        </w:tc>
        <w:tc>
          <w:tcPr>
            <w:tcW w:w="30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Translate natural language clinical questions into SPARQL queries</w:t>
            </w:r>
          </w:p>
        </w:tc>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Both use LLM to bridge between structured semantic knowledge and natural language</w:t>
            </w:r>
          </w:p>
        </w:tc>
      </w:tr>
      <w:tr w:rsidR="00B4650D">
        <w:tc>
          <w:tcPr>
            <w:tcW w:w="30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Reduce hallucination through ontology grounding</w:t>
            </w:r>
          </w:p>
        </w:tc>
        <w:tc>
          <w:tcPr>
            <w:tcW w:w="30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Reduce hallucination via schema-constrained system prompt</w:t>
            </w:r>
          </w:p>
        </w:tc>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Both anchor LLM output to the ontology schema to prevent fabrication</w:t>
            </w:r>
          </w:p>
        </w:tc>
      </w:tr>
      <w:tr w:rsidR="00B4650D">
        <w:tc>
          <w:tcPr>
            <w:tcW w:w="30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LLM reads ontology-inferred results</w:t>
            </w:r>
          </w:p>
        </w:tc>
        <w:tc>
          <w:tcPr>
            <w:tcW w:w="30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LLM generates queries that extract ontology knowledge</w:t>
            </w:r>
          </w:p>
        </w:tc>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Different direction: paper: inference → LLM; project: LLM → inference</w:t>
            </w:r>
          </w:p>
        </w:tc>
      </w:tr>
    </w:tbl>
    <w:p w:rsidR="00B4650D" w:rsidRDefault="00B4650D">
      <w:pPr>
        <w:spacing w:after="120"/>
      </w:pPr>
    </w:p>
    <w:p w:rsidR="00B4650D" w:rsidRDefault="003251EB">
      <w:pPr>
        <w:pStyle w:val="Balk1"/>
      </w:pPr>
      <w:r>
        <w:t>7. Future Work — Components Not Implemented</w:t>
      </w:r>
    </w:p>
    <w:p w:rsidR="00B4650D" w:rsidRDefault="003251EB">
      <w:pPr>
        <w:spacing w:after="160" w:line="276" w:lineRule="auto"/>
        <w:jc w:val="both"/>
      </w:pPr>
      <w:r>
        <w:rPr>
          <w:color w:val="1A202C"/>
        </w:rPr>
        <w:t>The paper's full architecture includes several advanced infrastructure components that were identified as planned future extensions in this project. These components are outside the scope of the current ontology engineering focus but represent clear paths for scaling the system toward production deployment.</w:t>
      </w:r>
    </w:p>
    <w:p w:rsidR="00B4650D" w:rsidRDefault="00B4650D">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60"/>
        <w:gridCol w:w="4500"/>
      </w:tblGrid>
      <w:tr w:rsidR="00B4650D">
        <w:trPr>
          <w:tblHeader/>
        </w:trPr>
        <w:tc>
          <w:tcPr>
            <w:tcW w:w="27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Paper Component</w:t>
            </w:r>
          </w:p>
        </w:tc>
        <w:tc>
          <w:tcPr>
            <w:tcW w:w="216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Technology</w:t>
            </w:r>
          </w:p>
        </w:tc>
        <w:tc>
          <w:tcPr>
            <w:tcW w:w="450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Planned Project Extension</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Semantic storage and federated querying</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GraphDB</w:t>
            </w:r>
          </w:p>
        </w:tc>
        <w:tc>
          <w:tcPr>
            <w:tcW w:w="45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Deploy healthcare-v4.ttl on GraphDB for full OWL 2 query-time reasoning</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Real-time event streaming</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Apache Kafka</w:t>
            </w:r>
          </w:p>
        </w:tc>
        <w:tc>
          <w:tcPr>
            <w:tcW w:w="45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Ingest live patient observation streams for real-time alert generation</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 xml:space="preserve">Large-scale </w:t>
            </w:r>
            <w:proofErr w:type="gramStart"/>
            <w:r>
              <w:rPr>
                <w:color w:val="1A202C"/>
                <w:sz w:val="19"/>
                <w:szCs w:val="19"/>
              </w:rPr>
              <w:t>data</w:t>
            </w:r>
            <w:proofErr w:type="gramEnd"/>
            <w:r>
              <w:rPr>
                <w:color w:val="1A202C"/>
                <w:sz w:val="19"/>
                <w:szCs w:val="19"/>
              </w:rPr>
              <w:t xml:space="preserve"> processing</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Apache Spark Streaming</w:t>
            </w:r>
          </w:p>
        </w:tc>
        <w:tc>
          <w:tcPr>
            <w:tcW w:w="45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Process clinical event streams at scale</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Complex event pattern detection</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Siddhi CEP</w:t>
            </w:r>
          </w:p>
        </w:tc>
        <w:tc>
          <w:tcPr>
            <w:tcW w:w="45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Detect temporal clinical patterns across patient streams</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LLM explanation generation</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GPT / Claude API</w:t>
            </w:r>
          </w:p>
        </w:tc>
        <w:tc>
          <w:tcPr>
            <w:tcW w:w="450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Generate human-readable explanations of inferred diagnoses</w:t>
            </w:r>
          </w:p>
        </w:tc>
      </w:tr>
      <w:tr w:rsidR="00B4650D">
        <w:tc>
          <w:tcPr>
            <w:tcW w:w="27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Expanded disease coverage</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ICD-10 / SNOMED CT</w:t>
            </w:r>
          </w:p>
        </w:tc>
        <w:tc>
          <w:tcPr>
            <w:tcW w:w="450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Scale from 50 diseases to clinical coding system scale</w:t>
            </w:r>
          </w:p>
        </w:tc>
      </w:tr>
    </w:tbl>
    <w:p w:rsidR="00B4650D" w:rsidRDefault="00B4650D">
      <w:pPr>
        <w:spacing w:after="120"/>
      </w:pPr>
    </w:p>
    <w:p w:rsidR="00B4650D" w:rsidRDefault="003251EB">
      <w:pPr>
        <w:pStyle w:val="Balk1"/>
      </w:pPr>
      <w:r>
        <w:t>8. Summary of Research Integration</w:t>
      </w:r>
    </w:p>
    <w:p w:rsidR="00B4650D" w:rsidRDefault="003251EB">
      <w:pPr>
        <w:spacing w:after="160" w:line="276" w:lineRule="auto"/>
        <w:jc w:val="both"/>
      </w:pPr>
      <w:r>
        <w:rPr>
          <w:color w:val="1A202C"/>
        </w:rPr>
        <w:t>The reference paper provided the conceptual and architectural foundation for extending the project from a basic OWL diagnosis ontology to a comprehensive semantic clinical reasoning system. The table below summarises the mapping between paper components and project implementations:</w:t>
      </w:r>
    </w:p>
    <w:p w:rsidR="00B4650D" w:rsidRDefault="00B4650D">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160"/>
        <w:gridCol w:w="3960"/>
      </w:tblGrid>
      <w:tr w:rsidR="00B4650D">
        <w:trPr>
          <w:tblHeader/>
        </w:trPr>
        <w:tc>
          <w:tcPr>
            <w:tcW w:w="324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Paper Component</w:t>
            </w:r>
          </w:p>
        </w:tc>
        <w:tc>
          <w:tcPr>
            <w:tcW w:w="216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Implementation Status</w:t>
            </w:r>
          </w:p>
        </w:tc>
        <w:tc>
          <w:tcPr>
            <w:tcW w:w="3960" w:type="dxa"/>
            <w:tcBorders>
              <w:top w:val="single" w:sz="1" w:space="0" w:color="C8DCE8"/>
              <w:left w:val="single" w:sz="1" w:space="0" w:color="C8DCE8"/>
              <w:bottom w:val="single" w:sz="1" w:space="0" w:color="C8DCE8"/>
              <w:right w:val="single" w:sz="1" w:space="0" w:color="C8DCE8"/>
            </w:tcBorders>
            <w:shd w:val="clear" w:color="auto" w:fill="1B3A5C"/>
            <w:tcMar>
              <w:top w:w="100" w:type="dxa"/>
              <w:left w:w="140" w:type="dxa"/>
              <w:bottom w:w="100" w:type="dxa"/>
              <w:right w:w="140" w:type="dxa"/>
            </w:tcMar>
            <w:vAlign w:val="center"/>
          </w:tcPr>
          <w:p w:rsidR="00B4650D" w:rsidRDefault="003251EB">
            <w:pPr>
              <w:jc w:val="center"/>
            </w:pPr>
            <w:r>
              <w:rPr>
                <w:b/>
                <w:bCs/>
                <w:color w:val="FFFFFF"/>
                <w:sz w:val="19"/>
                <w:szCs w:val="19"/>
              </w:rPr>
              <w:t>Project Artefact</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OWL ontology modelling</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Fully implemented</w:t>
            </w:r>
          </w:p>
        </w:tc>
        <w:tc>
          <w:tcPr>
            <w:tcW w:w="39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 xml:space="preserve">healthcare-v4.ttl — 11 classes, 9 object properties, 9 </w:t>
            </w:r>
            <w:proofErr w:type="gramStart"/>
            <w:r>
              <w:rPr>
                <w:color w:val="1A202C"/>
                <w:sz w:val="19"/>
                <w:szCs w:val="19"/>
              </w:rPr>
              <w:t>data</w:t>
            </w:r>
            <w:proofErr w:type="gramEnd"/>
            <w:r>
              <w:rPr>
                <w:color w:val="1A202C"/>
                <w:sz w:val="19"/>
                <w:szCs w:val="19"/>
              </w:rPr>
              <w:t xml:space="preserve"> properties</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SWRL clinical rules</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Fully implemented</w:t>
            </w:r>
          </w:p>
        </w:tc>
        <w:tc>
          <w:tcPr>
            <w:tcW w:w="39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Protégé SWRLTab rule; SPARQL simulation in Q10</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RDF knowledge graph</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Fully implemented</w:t>
            </w:r>
          </w:p>
        </w:tc>
        <w:tc>
          <w:tcPr>
            <w:tcW w:w="39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1,925 triples; kg_builder_v4.py</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SPARQL querying</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Fully implemented</w:t>
            </w:r>
          </w:p>
        </w:tc>
        <w:tc>
          <w:tcPr>
            <w:tcW w:w="39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20 SPARQL queries; sparql-v4.rq</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Data quality validation</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Fully implemented</w:t>
            </w:r>
          </w:p>
        </w:tc>
        <w:tc>
          <w:tcPr>
            <w:tcW w:w="39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7 SHACL shapes; shacl-v4.ttl; Conforms: True</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LLM integration</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Partially implemented</w:t>
            </w:r>
          </w:p>
        </w:tc>
        <w:tc>
          <w:tcPr>
            <w:tcW w:w="39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NL→SPARQL pipeline; llm_integration_v4.py</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GraphDB deployment</w:t>
            </w:r>
          </w:p>
        </w:tc>
        <w:tc>
          <w:tcPr>
            <w:tcW w:w="21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Not implemented — future work</w:t>
            </w:r>
          </w:p>
        </w:tc>
        <w:tc>
          <w:tcPr>
            <w:tcW w:w="3960" w:type="dxa"/>
            <w:tcBorders>
              <w:top w:val="single" w:sz="1" w:space="0" w:color="C8DCE8"/>
              <w:left w:val="single" w:sz="1" w:space="0" w:color="C8DCE8"/>
              <w:bottom w:val="single" w:sz="1" w:space="0" w:color="C8DCE8"/>
              <w:right w:val="single" w:sz="1" w:space="0" w:color="C8DCE8"/>
            </w:tcBorders>
            <w:shd w:val="clear" w:color="auto" w:fill="F0F7FA"/>
            <w:tcMar>
              <w:top w:w="100" w:type="dxa"/>
              <w:left w:w="140" w:type="dxa"/>
              <w:bottom w:w="100" w:type="dxa"/>
              <w:right w:w="140" w:type="dxa"/>
            </w:tcMar>
            <w:vAlign w:val="center"/>
          </w:tcPr>
          <w:p w:rsidR="00B4650D" w:rsidRDefault="003251EB">
            <w:r>
              <w:rPr>
                <w:color w:val="1A202C"/>
                <w:sz w:val="19"/>
                <w:szCs w:val="19"/>
              </w:rPr>
              <w:t>Planned extension</w:t>
            </w:r>
          </w:p>
        </w:tc>
      </w:tr>
      <w:tr w:rsidR="00B4650D">
        <w:tc>
          <w:tcPr>
            <w:tcW w:w="324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Kafka / Spark / Siddhi CEP</w:t>
            </w:r>
          </w:p>
        </w:tc>
        <w:tc>
          <w:tcPr>
            <w:tcW w:w="21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Not implemented — future work</w:t>
            </w:r>
          </w:p>
        </w:tc>
        <w:tc>
          <w:tcPr>
            <w:tcW w:w="3960" w:type="dxa"/>
            <w:tcBorders>
              <w:top w:val="single" w:sz="1" w:space="0" w:color="C8DCE8"/>
              <w:left w:val="single" w:sz="1" w:space="0" w:color="C8DCE8"/>
              <w:bottom w:val="single" w:sz="1" w:space="0" w:color="C8DCE8"/>
              <w:right w:val="single" w:sz="1" w:space="0" w:color="C8DCE8"/>
            </w:tcBorders>
            <w:shd w:val="clear" w:color="auto" w:fill="FFFFFF"/>
            <w:tcMar>
              <w:top w:w="100" w:type="dxa"/>
              <w:left w:w="140" w:type="dxa"/>
              <w:bottom w:w="100" w:type="dxa"/>
              <w:right w:w="140" w:type="dxa"/>
            </w:tcMar>
            <w:vAlign w:val="center"/>
          </w:tcPr>
          <w:p w:rsidR="00B4650D" w:rsidRDefault="003251EB">
            <w:r>
              <w:rPr>
                <w:color w:val="1A202C"/>
                <w:sz w:val="19"/>
                <w:szCs w:val="19"/>
              </w:rPr>
              <w:t>Planned extension</w:t>
            </w:r>
          </w:p>
        </w:tc>
      </w:tr>
    </w:tbl>
    <w:p w:rsidR="003251EB" w:rsidRDefault="003251EB"/>
    <w:sectPr w:rsidR="00325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415EF0"/>
    <w:multiLevelType w:val="hybridMultilevel"/>
    <w:tmpl w:val="D08E8E0E"/>
    <w:lvl w:ilvl="0" w:tplc="49AA5D04">
      <w:start w:val="1"/>
      <w:numFmt w:val="bullet"/>
      <w:lvlText w:val="•"/>
      <w:lvlJc w:val="left"/>
      <w:pPr>
        <w:ind w:left="720" w:hanging="360"/>
      </w:pPr>
    </w:lvl>
    <w:lvl w:ilvl="1" w:tplc="FCF27834">
      <w:numFmt w:val="decimal"/>
      <w:lvlText w:val=""/>
      <w:lvlJc w:val="left"/>
    </w:lvl>
    <w:lvl w:ilvl="2" w:tplc="02CEFBD4">
      <w:numFmt w:val="decimal"/>
      <w:lvlText w:val=""/>
      <w:lvlJc w:val="left"/>
    </w:lvl>
    <w:lvl w:ilvl="3" w:tplc="AE4038C6">
      <w:numFmt w:val="decimal"/>
      <w:lvlText w:val=""/>
      <w:lvlJc w:val="left"/>
    </w:lvl>
    <w:lvl w:ilvl="4" w:tplc="5C602A20">
      <w:numFmt w:val="decimal"/>
      <w:lvlText w:val=""/>
      <w:lvlJc w:val="left"/>
    </w:lvl>
    <w:lvl w:ilvl="5" w:tplc="8AD202B4">
      <w:numFmt w:val="decimal"/>
      <w:lvlText w:val=""/>
      <w:lvlJc w:val="left"/>
    </w:lvl>
    <w:lvl w:ilvl="6" w:tplc="0068DA44">
      <w:numFmt w:val="decimal"/>
      <w:lvlText w:val=""/>
      <w:lvlJc w:val="left"/>
    </w:lvl>
    <w:lvl w:ilvl="7" w:tplc="EAE28994">
      <w:numFmt w:val="decimal"/>
      <w:lvlText w:val=""/>
      <w:lvlJc w:val="left"/>
    </w:lvl>
    <w:lvl w:ilvl="8" w:tplc="67C2E93C">
      <w:numFmt w:val="decimal"/>
      <w:lvlText w:val=""/>
      <w:lvlJc w:val="left"/>
    </w:lvl>
  </w:abstractNum>
  <w:abstractNum w:abstractNumId="1">
    <w:nsid w:val="2B7D12D6"/>
    <w:multiLevelType w:val="hybridMultilevel"/>
    <w:tmpl w:val="8E8051E0"/>
    <w:lvl w:ilvl="0" w:tplc="53A455CC">
      <w:start w:val="1"/>
      <w:numFmt w:val="decimal"/>
      <w:lvlText w:val="%1."/>
      <w:lvlJc w:val="left"/>
      <w:pPr>
        <w:ind w:left="720" w:hanging="360"/>
      </w:pPr>
    </w:lvl>
    <w:lvl w:ilvl="1" w:tplc="CD18BAC0">
      <w:numFmt w:val="decimal"/>
      <w:lvlText w:val=""/>
      <w:lvlJc w:val="left"/>
    </w:lvl>
    <w:lvl w:ilvl="2" w:tplc="F9B4F68A">
      <w:numFmt w:val="decimal"/>
      <w:lvlText w:val=""/>
      <w:lvlJc w:val="left"/>
    </w:lvl>
    <w:lvl w:ilvl="3" w:tplc="91003E46">
      <w:numFmt w:val="decimal"/>
      <w:lvlText w:val=""/>
      <w:lvlJc w:val="left"/>
    </w:lvl>
    <w:lvl w:ilvl="4" w:tplc="52A60196">
      <w:numFmt w:val="decimal"/>
      <w:lvlText w:val=""/>
      <w:lvlJc w:val="left"/>
    </w:lvl>
    <w:lvl w:ilvl="5" w:tplc="1A5EE664">
      <w:numFmt w:val="decimal"/>
      <w:lvlText w:val=""/>
      <w:lvlJc w:val="left"/>
    </w:lvl>
    <w:lvl w:ilvl="6" w:tplc="4D02A86E">
      <w:numFmt w:val="decimal"/>
      <w:lvlText w:val=""/>
      <w:lvlJc w:val="left"/>
    </w:lvl>
    <w:lvl w:ilvl="7" w:tplc="18FE1318">
      <w:numFmt w:val="decimal"/>
      <w:lvlText w:val=""/>
      <w:lvlJc w:val="left"/>
    </w:lvl>
    <w:lvl w:ilvl="8" w:tplc="EBB88C80">
      <w:numFmt w:val="decimal"/>
      <w:lvlText w:val=""/>
      <w:lvlJc w:val="left"/>
    </w:lvl>
  </w:abstractNum>
  <w:abstractNum w:abstractNumId="2">
    <w:nsid w:val="5E790719"/>
    <w:multiLevelType w:val="hybridMultilevel"/>
    <w:tmpl w:val="F566D074"/>
    <w:lvl w:ilvl="0" w:tplc="A1F0E198">
      <w:start w:val="1"/>
      <w:numFmt w:val="bullet"/>
      <w:lvlText w:val="●"/>
      <w:lvlJc w:val="left"/>
      <w:pPr>
        <w:ind w:left="720" w:hanging="360"/>
      </w:pPr>
    </w:lvl>
    <w:lvl w:ilvl="1" w:tplc="0A140726">
      <w:start w:val="1"/>
      <w:numFmt w:val="bullet"/>
      <w:lvlText w:val="○"/>
      <w:lvlJc w:val="left"/>
      <w:pPr>
        <w:ind w:left="1440" w:hanging="360"/>
      </w:pPr>
    </w:lvl>
    <w:lvl w:ilvl="2" w:tplc="7ABC0110">
      <w:start w:val="1"/>
      <w:numFmt w:val="bullet"/>
      <w:lvlText w:val="■"/>
      <w:lvlJc w:val="left"/>
      <w:pPr>
        <w:ind w:left="2160" w:hanging="360"/>
      </w:pPr>
    </w:lvl>
    <w:lvl w:ilvl="3" w:tplc="3782D3A8">
      <w:start w:val="1"/>
      <w:numFmt w:val="bullet"/>
      <w:lvlText w:val="●"/>
      <w:lvlJc w:val="left"/>
      <w:pPr>
        <w:ind w:left="2880" w:hanging="360"/>
      </w:pPr>
    </w:lvl>
    <w:lvl w:ilvl="4" w:tplc="648CE20A">
      <w:start w:val="1"/>
      <w:numFmt w:val="bullet"/>
      <w:lvlText w:val="○"/>
      <w:lvlJc w:val="left"/>
      <w:pPr>
        <w:ind w:left="3600" w:hanging="360"/>
      </w:pPr>
    </w:lvl>
    <w:lvl w:ilvl="5" w:tplc="56F2ECCA">
      <w:start w:val="1"/>
      <w:numFmt w:val="bullet"/>
      <w:lvlText w:val="■"/>
      <w:lvlJc w:val="left"/>
      <w:pPr>
        <w:ind w:left="4320" w:hanging="360"/>
      </w:pPr>
    </w:lvl>
    <w:lvl w:ilvl="6" w:tplc="A0F69E3A">
      <w:start w:val="1"/>
      <w:numFmt w:val="bullet"/>
      <w:lvlText w:val="●"/>
      <w:lvlJc w:val="left"/>
      <w:pPr>
        <w:ind w:left="5040" w:hanging="360"/>
      </w:pPr>
    </w:lvl>
    <w:lvl w:ilvl="7" w:tplc="BA5E4BFC">
      <w:start w:val="1"/>
      <w:numFmt w:val="bullet"/>
      <w:lvlText w:val="●"/>
      <w:lvlJc w:val="left"/>
      <w:pPr>
        <w:ind w:left="5760" w:hanging="360"/>
      </w:pPr>
    </w:lvl>
    <w:lvl w:ilvl="8" w:tplc="6184907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grammar="clean"/>
  <w:defaultTabStop w:val="708"/>
  <w:hyphenationZone w:val="425"/>
  <w:characterSpacingControl w:val="doNotCompress"/>
  <w:savePreviewPicture/>
  <w:compat>
    <w:compatSetting w:name="compatibilityMode" w:uri="http://schemas.microsoft.com/office/word" w:val="14"/>
  </w:compat>
  <w:rsids>
    <w:rsidRoot w:val="00B4650D"/>
    <w:rsid w:val="000F19C8"/>
    <w:rsid w:val="003251EB"/>
    <w:rsid w:val="0055720A"/>
    <w:rsid w:val="00B4650D"/>
    <w:rsid w:val="00D245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qFormat/>
    <w:pPr>
      <w:spacing w:before="320" w:after="160"/>
      <w:outlineLvl w:val="0"/>
    </w:pPr>
    <w:rPr>
      <w:b/>
      <w:bCs/>
      <w:color w:val="1B3A5C"/>
      <w:sz w:val="32"/>
      <w:szCs w:val="32"/>
    </w:rPr>
  </w:style>
  <w:style w:type="paragraph" w:styleId="Balk2">
    <w:name w:val="heading 2"/>
    <w:qFormat/>
    <w:pPr>
      <w:spacing w:before="240" w:after="120"/>
      <w:outlineLvl w:val="1"/>
    </w:pPr>
    <w:rPr>
      <w:b/>
      <w:bCs/>
      <w:color w:val="2C6E9E"/>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qFormat/>
    <w:pPr>
      <w:spacing w:before="320" w:after="160"/>
      <w:outlineLvl w:val="0"/>
    </w:pPr>
    <w:rPr>
      <w:b/>
      <w:bCs/>
      <w:color w:val="1B3A5C"/>
      <w:sz w:val="32"/>
      <w:szCs w:val="32"/>
    </w:rPr>
  </w:style>
  <w:style w:type="paragraph" w:styleId="Balk2">
    <w:name w:val="heading 2"/>
    <w:qFormat/>
    <w:pPr>
      <w:spacing w:before="240" w:after="120"/>
      <w:outlineLvl w:val="1"/>
    </w:pPr>
    <w:rPr>
      <w:b/>
      <w:bCs/>
      <w:color w:val="2C6E9E"/>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1782</Words>
  <Characters>10164</Characters>
  <Application>Microsoft Office Word</Application>
  <DocSecurity>0</DocSecurity>
  <Lines>84</Lines>
  <Paragraphs>23</Paragraphs>
  <ScaleCrop>false</ScaleCrop>
  <Company/>
  <LinksUpToDate>false</LinksUpToDate>
  <CharactersWithSpaces>11923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Beyza</cp:lastModifiedBy>
  <cp:revision>4</cp:revision>
  <dcterms:created xsi:type="dcterms:W3CDTF">2026-06-17T01:47:00Z</dcterms:created>
  <dcterms:modified xsi:type="dcterms:W3CDTF">2026-06-17T01:59:00Z</dcterms:modified>
</cp:coreProperties>
</file>