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46FD" w:rsidRDefault="008446FD">
      <w:pPr>
        <w:pBdr>
          <w:bottom w:val="thick" w:sz="16" w:space="4" w:color="1B3A5C"/>
        </w:pBdr>
        <w:spacing w:after="560"/>
      </w:pPr>
    </w:p>
    <w:p w:rsidR="008446FD" w:rsidRDefault="003D75FE">
      <w:pPr>
        <w:spacing w:after="200"/>
      </w:pPr>
      <w:r>
        <w:rPr>
          <w:b/>
          <w:bCs/>
          <w:color w:val="64748B"/>
        </w:rPr>
        <w:t>KNOWLEDGE ENGINEERING AND ONTOLOGIES</w:t>
      </w:r>
    </w:p>
    <w:p w:rsidR="008446FD" w:rsidRDefault="003D75FE">
      <w:pPr>
        <w:spacing w:after="200"/>
      </w:pPr>
      <w:r>
        <w:rPr>
          <w:color w:val="64748B"/>
        </w:rPr>
        <w:t>Course Project Report  |  Spring 2025–2026</w:t>
      </w:r>
    </w:p>
    <w:p w:rsidR="008446FD" w:rsidRDefault="008446FD">
      <w:pPr>
        <w:spacing w:after="400"/>
      </w:pPr>
    </w:p>
    <w:p w:rsidR="008446FD" w:rsidRDefault="003D75FE">
      <w:pPr>
        <w:spacing w:after="120"/>
      </w:pPr>
      <w:r>
        <w:rPr>
          <w:b/>
          <w:bCs/>
          <w:color w:val="1B3A5C"/>
          <w:sz w:val="64"/>
          <w:szCs w:val="64"/>
        </w:rPr>
        <w:t>Healthcare Diagnosis</w:t>
      </w:r>
    </w:p>
    <w:p w:rsidR="008446FD" w:rsidRDefault="00251B8D">
      <w:pPr>
        <w:spacing w:after="240"/>
      </w:pPr>
      <w:r>
        <w:rPr>
          <w:b/>
          <w:bCs/>
          <w:color w:val="2C6E9E"/>
          <w:sz w:val="64"/>
          <w:szCs w:val="64"/>
        </w:rPr>
        <w:t xml:space="preserve">           </w:t>
      </w:r>
      <w:r w:rsidR="003D75FE">
        <w:rPr>
          <w:b/>
          <w:bCs/>
          <w:color w:val="2C6E9E"/>
          <w:sz w:val="64"/>
          <w:szCs w:val="64"/>
        </w:rPr>
        <w:t>Ontology</w:t>
      </w:r>
    </w:p>
    <w:p w:rsidR="008446FD" w:rsidRDefault="003D75FE">
      <w:pPr>
        <w:spacing w:after="600"/>
      </w:pPr>
      <w:r>
        <w:rPr>
          <w:i/>
          <w:iCs/>
          <w:color w:val="64748B"/>
          <w:sz w:val="26"/>
          <w:szCs w:val="26"/>
        </w:rPr>
        <w:t>A Semantic Web Approach to Clinical Decision Support</w:t>
      </w:r>
    </w:p>
    <w:p w:rsidR="008446FD" w:rsidRDefault="003D75FE">
      <w:pPr>
        <w:spacing w:after="80"/>
      </w:pPr>
      <w:bookmarkStart w:id="0" w:name="_GoBack"/>
      <w:bookmarkEnd w:id="0"/>
      <w:r>
        <w:rPr>
          <w:b/>
          <w:bCs/>
          <w:color w:val="64748B"/>
          <w:sz w:val="18"/>
          <w:szCs w:val="18"/>
        </w:rPr>
        <w:t>Author</w:t>
      </w:r>
    </w:p>
    <w:p w:rsidR="008446FD" w:rsidRDefault="00251B8D">
      <w:pPr>
        <w:spacing w:after="60"/>
      </w:pPr>
      <w:r>
        <w:rPr>
          <w:b/>
          <w:bCs/>
          <w:color w:val="1A202C"/>
          <w:sz w:val="24"/>
          <w:szCs w:val="24"/>
        </w:rPr>
        <w:t>Beyza Uç</w:t>
      </w:r>
      <w:r w:rsidR="003D75FE">
        <w:rPr>
          <w:b/>
          <w:bCs/>
          <w:color w:val="1A202C"/>
          <w:sz w:val="24"/>
          <w:szCs w:val="24"/>
        </w:rPr>
        <w:t>ar</w:t>
      </w:r>
    </w:p>
    <w:p w:rsidR="008446FD" w:rsidRDefault="003D75FE">
      <w:pPr>
        <w:spacing w:after="60"/>
      </w:pPr>
      <w:r>
        <w:rPr>
          <w:color w:val="64748B"/>
          <w:sz w:val="20"/>
          <w:szCs w:val="20"/>
        </w:rPr>
        <w:t>Student ID: 220316060</w:t>
      </w:r>
    </w:p>
    <w:p w:rsidR="008446FD" w:rsidRDefault="003D75FE">
      <w:pPr>
        <w:spacing w:after="60"/>
      </w:pPr>
      <w:r>
        <w:rPr>
          <w:color w:val="64748B"/>
          <w:sz w:val="20"/>
          <w:szCs w:val="20"/>
        </w:rPr>
        <w:t>Manisa Celal Bayar University, Department of Computer Engineering</w:t>
      </w:r>
    </w:p>
    <w:p w:rsidR="008446FD" w:rsidRDefault="00251B8D">
      <w:pPr>
        <w:spacing w:after="60"/>
      </w:pPr>
      <w:r>
        <w:rPr>
          <w:color w:val="1A7A8A"/>
          <w:sz w:val="20"/>
          <w:szCs w:val="20"/>
        </w:rPr>
        <w:t>220316060</w:t>
      </w:r>
      <w:r w:rsidR="003D75FE">
        <w:rPr>
          <w:color w:val="1A7A8A"/>
          <w:sz w:val="20"/>
          <w:szCs w:val="20"/>
        </w:rPr>
        <w:t>@</w:t>
      </w:r>
      <w:r>
        <w:rPr>
          <w:color w:val="1A7A8A"/>
          <w:sz w:val="20"/>
          <w:szCs w:val="20"/>
        </w:rPr>
        <w:t>ogr.</w:t>
      </w:r>
      <w:r w:rsidR="003D75FE">
        <w:rPr>
          <w:color w:val="1A7A8A"/>
          <w:sz w:val="20"/>
          <w:szCs w:val="20"/>
        </w:rPr>
        <w:t>cbu.edu.tr</w:t>
      </w:r>
    </w:p>
    <w:p w:rsidR="008446FD" w:rsidRDefault="003D75FE">
      <w:pPr>
        <w:spacing w:after="120"/>
      </w:pPr>
      <w:r>
        <w:rPr>
          <w:b/>
          <w:bCs/>
          <w:color w:val="1B3A5C"/>
        </w:rPr>
        <w:t>Project Summary</w:t>
      </w: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00"/>
        <w:gridCol w:w="4500"/>
      </w:tblGrid>
      <w:tr w:rsidR="008446FD">
        <w:trPr>
          <w:tblHeader/>
        </w:trPr>
        <w:tc>
          <w:tcPr>
            <w:tcW w:w="45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Metric</w:t>
            </w:r>
          </w:p>
        </w:tc>
        <w:tc>
          <w:tcPr>
            <w:tcW w:w="45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Value</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Total RDF Triples</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1,925</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Diseases Modelled</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50</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Symptom Individuals</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103</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Treatment Individuals</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99</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 Individuals</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20</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Diagnostic Tests</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25</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Clinical Alerts</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12</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SHACL Shapes (7 shapes)</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Conforms: True</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SPARQL Queries</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20 (all passing)</w:t>
            </w:r>
          </w:p>
        </w:tc>
      </w:tr>
      <w:tr w:rsidR="008446FD">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Disease Categories</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10</w:t>
            </w:r>
          </w:p>
        </w:tc>
      </w:tr>
    </w:tbl>
    <w:p w:rsidR="008446FD" w:rsidRDefault="008446FD">
      <w:pPr>
        <w:spacing w:after="200"/>
      </w:pPr>
    </w:p>
    <w:p w:rsidR="008446FD" w:rsidRDefault="008446FD">
      <w:pPr>
        <w:pBdr>
          <w:top w:val="single" w:sz="4" w:space="4" w:color="CBD5E0"/>
        </w:pBdr>
        <w:spacing w:after="80"/>
      </w:pPr>
    </w:p>
    <w:p w:rsidR="008446FD" w:rsidRDefault="003D75FE">
      <w:r>
        <w:rPr>
          <w:b/>
          <w:bCs/>
          <w:color w:val="64748B"/>
          <w:sz w:val="18"/>
          <w:szCs w:val="18"/>
        </w:rPr>
        <w:t xml:space="preserve">GitHub: </w:t>
      </w:r>
      <w:r>
        <w:rPr>
          <w:color w:val="1A7A8A"/>
          <w:sz w:val="18"/>
          <w:szCs w:val="18"/>
        </w:rPr>
        <w:t>github.com/beyzaucarr/Healthcare-Diagnosis-Ontology</w:t>
      </w:r>
      <w:r>
        <w:rPr>
          <w:color w:val="64748B"/>
          <w:sz w:val="18"/>
          <w:szCs w:val="18"/>
        </w:rPr>
        <w:t xml:space="preserve">    |    Submitted: June 2026</w:t>
      </w:r>
    </w:p>
    <w:p w:rsidR="008446FD" w:rsidRDefault="008446FD">
      <w:pPr>
        <w:sectPr w:rsidR="008446FD">
          <w:pgSz w:w="11906" w:h="16838"/>
          <w:pgMar w:top="2160" w:right="1440" w:bottom="1440" w:left="1800" w:header="708" w:footer="708" w:gutter="0"/>
          <w:cols w:space="708"/>
          <w:docGrid w:linePitch="360"/>
        </w:sectPr>
      </w:pPr>
    </w:p>
    <w:p w:rsidR="008446FD" w:rsidRDefault="003D75FE">
      <w:pPr>
        <w:pStyle w:val="Balk1"/>
      </w:pPr>
      <w:r>
        <w:lastRenderedPageBreak/>
        <w:t>1. Executive Summary</w:t>
      </w:r>
    </w:p>
    <w:p w:rsidR="008446FD" w:rsidRDefault="003D75FE">
      <w:pPr>
        <w:spacing w:after="160" w:line="276" w:lineRule="auto"/>
        <w:jc w:val="both"/>
      </w:pPr>
      <w:r>
        <w:rPr>
          <w:color w:val="1A202C"/>
        </w:rPr>
        <w:t>This report documents the design, implementation, and evaluation of the Healthcare Diagnosis Ontology (HDO), version 4, developed as the final project for the Knowledge Engineering and Ontologies course. The ontology provides a formal semantic representati</w:t>
      </w:r>
      <w:r>
        <w:rPr>
          <w:color w:val="1A202C"/>
        </w:rPr>
        <w:t>on of the clinical diagnosis domain using OWL 2, SWRL, SPARQL 1.1, and SHACL, and is implemented in RDF Turtle format.</w:t>
      </w:r>
    </w:p>
    <w:p w:rsidR="008446FD" w:rsidRDefault="008446FD">
      <w:pPr>
        <w:spacing w:after="160"/>
      </w:pPr>
    </w:p>
    <w:p w:rsidR="008446FD" w:rsidRDefault="003D75FE">
      <w:pPr>
        <w:spacing w:after="160" w:line="276" w:lineRule="auto"/>
        <w:jc w:val="both"/>
      </w:pPr>
      <w:r>
        <w:rPr>
          <w:color w:val="1A202C"/>
        </w:rPr>
        <w:t>The knowledge base models 50 human diseases sourced from the Disease Ontology (DOID), organized into 10 clinical categories, along with 103 symptom individuals, 99 treatment individuals, 20 patient individuals carrying full clinical profiles, 25 diagnostic</w:t>
      </w:r>
      <w:r>
        <w:rPr>
          <w:color w:val="1A202C"/>
        </w:rPr>
        <w:t xml:space="preserve"> test types, 12 clinical alert types, and 12 diagnostic recommendation types. The resulting knowledge graph comprises 1,925 RDF triples.</w:t>
      </w:r>
    </w:p>
    <w:p w:rsidR="008446FD" w:rsidRDefault="008446FD">
      <w:pPr>
        <w:spacing w:after="160"/>
      </w:pPr>
    </w:p>
    <w:p w:rsidR="008446FD" w:rsidRDefault="003D75FE">
      <w:pPr>
        <w:spacing w:after="160" w:line="276" w:lineRule="auto"/>
        <w:jc w:val="both"/>
      </w:pPr>
      <w:r>
        <w:rPr>
          <w:color w:val="1A202C"/>
        </w:rPr>
        <w:t xml:space="preserve">The core reasoning mechanism is an OWL 2 property chain axiom that enables the HermiT reasoner to automatically infer </w:t>
      </w:r>
      <w:r>
        <w:rPr>
          <w:color w:val="1A202C"/>
        </w:rPr>
        <w:t>possible diagnoses for patients based on symptom overlap with disease definitions, without requiring manual assertion of any diagnostic relationship. A SWRL rule further automates the assignment of diagnostic tests to patients meeting specific clinical cri</w:t>
      </w:r>
      <w:r>
        <w:rPr>
          <w:color w:val="1A202C"/>
        </w:rPr>
        <w:t>teria. Twenty SPARQL queries spanning basic retrieval, reasoning, and aggregation categories were implemented and validated — all 20 returned correct results. Seven SHACL shapes enforce data quality constraints across all individual types; validation confi</w:t>
      </w:r>
      <w:r>
        <w:rPr>
          <w:color w:val="1A202C"/>
        </w:rPr>
        <w:t>rms full conformance with zero violations across all 1,925 triples. An LLM integration layer using the Claude API translates natural language clinical questions into executable SPARQL queries.</w:t>
      </w:r>
    </w:p>
    <w:p w:rsidR="008446FD" w:rsidRDefault="008446FD">
      <w:pPr>
        <w:spacing w:after="160"/>
      </w:pPr>
    </w:p>
    <w:p w:rsidR="008446FD" w:rsidRDefault="003D75FE">
      <w:pPr>
        <w:spacing w:after="160" w:line="276" w:lineRule="auto"/>
        <w:jc w:val="both"/>
      </w:pPr>
      <w:r>
        <w:rPr>
          <w:color w:val="1A202C"/>
        </w:rPr>
        <w:t>The project demonstrates that semantic web technologies can un</w:t>
      </w:r>
      <w:r>
        <w:rPr>
          <w:color w:val="1A202C"/>
        </w:rPr>
        <w:t>derpin explainable, auditable, and reproducible clinical decision support systems as a viable alternative to opaque probabilistic models.</w:t>
      </w:r>
    </w:p>
    <w:p w:rsidR="008446FD" w:rsidRDefault="003D75FE">
      <w:r>
        <w:br w:type="page"/>
      </w:r>
    </w:p>
    <w:p w:rsidR="008446FD" w:rsidRDefault="003D75FE">
      <w:pPr>
        <w:pStyle w:val="Balk1"/>
      </w:pPr>
      <w:r>
        <w:t>2. Project Description</w:t>
      </w:r>
    </w:p>
    <w:p w:rsidR="008446FD" w:rsidRDefault="003D75FE">
      <w:pPr>
        <w:pStyle w:val="Balk2"/>
      </w:pPr>
      <w:r>
        <w:t>2.1 Problem Domain</w:t>
      </w:r>
    </w:p>
    <w:p w:rsidR="008446FD" w:rsidRDefault="003D75FE">
      <w:pPr>
        <w:spacing w:after="160" w:line="276" w:lineRule="auto"/>
        <w:jc w:val="both"/>
      </w:pPr>
      <w:r>
        <w:rPr>
          <w:color w:val="1A202C"/>
        </w:rPr>
        <w:t>Clinical medicine relies on the systematic association of observed symptoms with underlying diseases to arrive at accurate diagnoses. In practice, this knowledge is distributed across textbooks, clinical guidelines, and electronic health records in formats</w:t>
      </w:r>
      <w:r>
        <w:rPr>
          <w:color w:val="1A202C"/>
        </w:rPr>
        <w:t xml:space="preserve"> that are difficult for automated systems to process. Existing knowledge-based systems often rely on hand-crafted rule engines that lack the expressiveness needed for complex ontological inference, while machine learning approaches produce opaque probabili</w:t>
      </w:r>
      <w:r>
        <w:rPr>
          <w:color w:val="1A202C"/>
        </w:rPr>
        <w:t>stic outputs that are difficult to audit or explain in clinical settings.</w:t>
      </w:r>
    </w:p>
    <w:p w:rsidR="008446FD" w:rsidRDefault="008446FD">
      <w:pPr>
        <w:spacing w:after="160"/>
      </w:pPr>
    </w:p>
    <w:p w:rsidR="008446FD" w:rsidRDefault="003D75FE">
      <w:pPr>
        <w:spacing w:after="160" w:line="276" w:lineRule="auto"/>
        <w:jc w:val="both"/>
      </w:pPr>
      <w:r>
        <w:rPr>
          <w:color w:val="1A202C"/>
        </w:rPr>
        <w:t>This project addresses these limitations by encoding clinical knowledge as a formal OWL 2 ontology that supports machine-readable representation, logical inference, and semantic que</w:t>
      </w:r>
      <w:r>
        <w:rPr>
          <w:color w:val="1A202C"/>
        </w:rPr>
        <w:t>rying. The healthcare diagnosis domain was chosen because it exhibits clear hierarchical and relational structure amenable to ontological modelling: diseases have symptoms, patients report symptoms, treatments address diseases, and diagnoses can be inferre</w:t>
      </w:r>
      <w:r>
        <w:rPr>
          <w:color w:val="1A202C"/>
        </w:rPr>
        <w:t>d from symptom overlap.</w:t>
      </w:r>
    </w:p>
    <w:p w:rsidR="008446FD" w:rsidRDefault="003D75FE">
      <w:pPr>
        <w:pStyle w:val="Balk2"/>
      </w:pPr>
      <w:r>
        <w:t>2.2 Objectives</w:t>
      </w:r>
    </w:p>
    <w:p w:rsidR="008446FD" w:rsidRDefault="003D75FE">
      <w:pPr>
        <w:pStyle w:val="ListeParagraf"/>
        <w:numPr>
          <w:ilvl w:val="0"/>
          <w:numId w:val="2"/>
        </w:numPr>
        <w:spacing w:after="100"/>
      </w:pPr>
      <w:r>
        <w:rPr>
          <w:color w:val="1A202C"/>
        </w:rPr>
        <w:t>Develop a comprehensive OWL 2 ontology covering 50 diseases, 103 symptoms, and 99 treatments.</w:t>
      </w:r>
    </w:p>
    <w:p w:rsidR="008446FD" w:rsidRDefault="003D75FE">
      <w:pPr>
        <w:pStyle w:val="ListeParagraf"/>
        <w:numPr>
          <w:ilvl w:val="0"/>
          <w:numId w:val="2"/>
        </w:numPr>
        <w:spacing w:after="100"/>
      </w:pPr>
      <w:r>
        <w:rPr>
          <w:color w:val="1A202C"/>
        </w:rPr>
        <w:t>Implement automated diagnosis inference using an OWL 2 property chain axiom.</w:t>
      </w:r>
    </w:p>
    <w:p w:rsidR="008446FD" w:rsidRDefault="003D75FE">
      <w:pPr>
        <w:pStyle w:val="ListeParagraf"/>
        <w:numPr>
          <w:ilvl w:val="0"/>
          <w:numId w:val="2"/>
        </w:numPr>
        <w:spacing w:after="100"/>
      </w:pPr>
      <w:r>
        <w:rPr>
          <w:color w:val="1A202C"/>
        </w:rPr>
        <w:t>Support rule-based clinical decision support u</w:t>
      </w:r>
      <w:r>
        <w:rPr>
          <w:color w:val="1A202C"/>
        </w:rPr>
        <w:t>sing SWRL.</w:t>
      </w:r>
    </w:p>
    <w:p w:rsidR="008446FD" w:rsidRDefault="003D75FE">
      <w:pPr>
        <w:pStyle w:val="ListeParagraf"/>
        <w:numPr>
          <w:ilvl w:val="0"/>
          <w:numId w:val="2"/>
        </w:numPr>
        <w:spacing w:after="100"/>
      </w:pPr>
      <w:r>
        <w:rPr>
          <w:color w:val="1A202C"/>
        </w:rPr>
        <w:t>Enforce data quality constraints using SHACL.</w:t>
      </w:r>
    </w:p>
    <w:p w:rsidR="008446FD" w:rsidRDefault="003D75FE">
      <w:pPr>
        <w:pStyle w:val="ListeParagraf"/>
        <w:numPr>
          <w:ilvl w:val="0"/>
          <w:numId w:val="2"/>
        </w:numPr>
        <w:spacing w:after="100"/>
      </w:pPr>
      <w:r>
        <w:rPr>
          <w:color w:val="1A202C"/>
        </w:rPr>
        <w:t>Enable semantic querying through 20 SPARQL queries that answer all defined competency questions.</w:t>
      </w:r>
    </w:p>
    <w:p w:rsidR="008446FD" w:rsidRDefault="003D75FE">
      <w:pPr>
        <w:pStyle w:val="ListeParagraf"/>
        <w:numPr>
          <w:ilvl w:val="0"/>
          <w:numId w:val="2"/>
        </w:numPr>
        <w:spacing w:after="100"/>
      </w:pPr>
      <w:r>
        <w:rPr>
          <w:color w:val="1A202C"/>
        </w:rPr>
        <w:t>Integrate an LLM-based natural language interface for clinical querying.</w:t>
      </w:r>
    </w:p>
    <w:p w:rsidR="008446FD" w:rsidRDefault="008446FD">
      <w:pPr>
        <w:spacing w:after="160"/>
      </w:pPr>
    </w:p>
    <w:p w:rsidR="008446FD" w:rsidRDefault="003D75FE">
      <w:pPr>
        <w:pStyle w:val="Balk2"/>
      </w:pPr>
      <w:r>
        <w:t>2.3 Competency Questions</w:t>
      </w:r>
    </w:p>
    <w:p w:rsidR="008446FD" w:rsidRDefault="003D75FE">
      <w:pPr>
        <w:spacing w:after="160" w:line="276" w:lineRule="auto"/>
        <w:jc w:val="both"/>
      </w:pPr>
      <w:r>
        <w:rPr>
          <w:color w:val="1A202C"/>
        </w:rPr>
        <w:t>The</w:t>
      </w:r>
      <w:r>
        <w:rPr>
          <w:color w:val="1A202C"/>
        </w:rPr>
        <w:t xml:space="preserve"> ontology is designed to answer the following ten competency questions, which guided both ontology design and SPARQL query development:</w:t>
      </w:r>
    </w:p>
    <w:p w:rsidR="008446FD" w:rsidRDefault="008446FD">
      <w:pPr>
        <w:spacing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0"/>
        <w:gridCol w:w="8280"/>
      </w:tblGrid>
      <w:tr w:rsidR="008446FD">
        <w:trPr>
          <w:tblHeader/>
        </w:trPr>
        <w:tc>
          <w:tcPr>
            <w:tcW w:w="108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CQ</w:t>
            </w:r>
          </w:p>
        </w:tc>
        <w:tc>
          <w:tcPr>
            <w:tcW w:w="828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Competency Question</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CQ1</w:t>
            </w:r>
          </w:p>
        </w:tc>
        <w:tc>
          <w:tcPr>
            <w:tcW w:w="82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Which diseases can be inferred as possible diagnoses from a patient's reported symptoms?</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CQ2</w:t>
            </w:r>
          </w:p>
        </w:tc>
        <w:tc>
          <w:tcPr>
            <w:tcW w:w="82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Which patients share symptoms with a specific disease?</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CQ3</w:t>
            </w:r>
          </w:p>
        </w:tc>
        <w:tc>
          <w:tcPr>
            <w:tcW w:w="82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What symptoms are associated with a given disease?</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CQ4</w:t>
            </w:r>
          </w:p>
        </w:tc>
        <w:tc>
          <w:tcPr>
            <w:tcW w:w="82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Which patients require a diagnostic test, and which test is assigned?</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CQ5</w:t>
            </w:r>
          </w:p>
        </w:tc>
        <w:tc>
          <w:tcPr>
            <w:tcW w:w="82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Which patients have triggered a clinical alert, and what is the alert message?</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CQ6</w:t>
            </w:r>
          </w:p>
        </w:tc>
        <w:tc>
          <w:tcPr>
            <w:tcW w:w="82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What treatments are available for a given disease?</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CQ7</w:t>
            </w:r>
          </w:p>
        </w:tc>
        <w:tc>
          <w:tcPr>
            <w:tcW w:w="82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How many symptoms does each disease have, and how do diseases rank by symptom count?</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CQ8</w:t>
            </w:r>
          </w:p>
        </w:tc>
        <w:tc>
          <w:tcPr>
            <w:tcW w:w="82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Which diseases belong to a given clinical category?</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CQ9</w:t>
            </w:r>
          </w:p>
        </w:tc>
        <w:tc>
          <w:tcPr>
            <w:tcW w:w="82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Which patients meet the SWRL rule conditions for extended symptomatic fever?</w:t>
            </w:r>
          </w:p>
        </w:tc>
      </w:tr>
      <w:tr w:rsidR="008446FD">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CQ10</w:t>
            </w:r>
          </w:p>
        </w:tc>
        <w:tc>
          <w:tcPr>
            <w:tcW w:w="82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Which elderly high-risk patients require advanced diagnostic testing?</w:t>
            </w:r>
          </w:p>
        </w:tc>
      </w:tr>
    </w:tbl>
    <w:p w:rsidR="008446FD" w:rsidRDefault="008446FD">
      <w:pPr>
        <w:spacing w:after="160"/>
      </w:pPr>
    </w:p>
    <w:p w:rsidR="008446FD" w:rsidRDefault="003D75FE">
      <w:pPr>
        <w:pStyle w:val="Balk2"/>
      </w:pPr>
      <w:r>
        <w:t>2.4 Tools and Technologies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0"/>
        <w:gridCol w:w="1800"/>
        <w:gridCol w:w="4680"/>
      </w:tblGrid>
      <w:tr w:rsidR="008446FD">
        <w:trPr>
          <w:tblHeader/>
        </w:trPr>
        <w:tc>
          <w:tcPr>
            <w:tcW w:w="288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Tool / Technology</w:t>
            </w:r>
          </w:p>
        </w:tc>
        <w:tc>
          <w:tcPr>
            <w:tcW w:w="18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Version / Standard</w:t>
            </w:r>
          </w:p>
        </w:tc>
        <w:tc>
          <w:tcPr>
            <w:tcW w:w="468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Role in Project</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Protégé</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5.6</w:t>
            </w:r>
          </w:p>
        </w:tc>
        <w:tc>
          <w:tcPr>
            <w:tcW w:w="46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Ontology editing, class hierarchy, SWRL rule definition, HermiT reasoning</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HermiT Reasoner</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1.4.3.x</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OWL 2 DL reasoning; evaluates property chain axioms and class inferences</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RDFLib</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7.x (Python)</w:t>
            </w:r>
          </w:p>
        </w:tc>
        <w:tc>
          <w:tcPr>
            <w:tcW w:w="46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Programmatic knowledge graph loading, SPARQL query execution, TTL serialization</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pyshacl</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0.26.x (Python)</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SHACL constraint validation with RDFS inference support</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Disease Ontology (DOID)</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2022 release</w:t>
            </w:r>
          </w:p>
        </w:tc>
        <w:tc>
          <w:tcPr>
            <w:tcW w:w="46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Reference disease dataset; source of DOID identifiers and disease descriptions</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Claude API</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claude-sonnet-4-6</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LLM-based natural language to SPARQL translation</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OWL 2 / Turtle</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W3C Recommendation</w:t>
            </w:r>
          </w:p>
        </w:tc>
        <w:tc>
          <w:tcPr>
            <w:tcW w:w="46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Ontology serialization format for the knowledge base</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SWRL</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W3C Submission</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Semantic Web Rule Language for clinical rule definition</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SHACL</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W3C Recommendation</w:t>
            </w:r>
          </w:p>
        </w:tc>
        <w:tc>
          <w:tcPr>
            <w:tcW w:w="46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Shapes Constraint Language for data quality enforcement</w:t>
            </w:r>
          </w:p>
        </w:tc>
      </w:tr>
      <w:tr w:rsidR="008446FD">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SPARQL 1.1</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W3C Recommendation</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Semantic query language for the knowledge graph</w:t>
            </w:r>
          </w:p>
        </w:tc>
      </w:tr>
    </w:tbl>
    <w:p w:rsidR="008446FD" w:rsidRDefault="003D75FE">
      <w:r>
        <w:br w:type="page"/>
      </w:r>
    </w:p>
    <w:p w:rsidR="008446FD" w:rsidRDefault="003D75FE">
      <w:pPr>
        <w:pStyle w:val="Balk1"/>
      </w:pPr>
      <w:r>
        <w:t>3. Ontology Design</w:t>
      </w:r>
    </w:p>
    <w:p w:rsidR="008446FD" w:rsidRDefault="003D75FE">
      <w:pPr>
        <w:pStyle w:val="Balk2"/>
      </w:pPr>
      <w:r>
        <w:t>3.1 Modelling Approach</w:t>
      </w:r>
    </w:p>
    <w:p w:rsidR="008446FD" w:rsidRDefault="003D75FE">
      <w:pPr>
        <w:spacing w:after="160" w:line="276" w:lineRule="auto"/>
        <w:jc w:val="both"/>
      </w:pPr>
      <w:r>
        <w:rPr>
          <w:color w:val="1A202C"/>
        </w:rPr>
        <w:t>The ontology follows the OWL 2 DL profile, which provides decidable reasoning while supporting the property chain axioms required for automated diagnosis inference. The design separates terminological knowledge (TBox — classes and pr</w:t>
      </w:r>
      <w:r>
        <w:rPr>
          <w:color w:val="1A202C"/>
        </w:rPr>
        <w:t>operties) from assertional knowledge (ABox — named individuals and their relationships). This separation ensures that the reasoning mechanisms operate correctly across the class and instance layers.</w:t>
      </w:r>
    </w:p>
    <w:p w:rsidR="008446FD" w:rsidRDefault="008446FD">
      <w:pPr>
        <w:spacing w:after="160"/>
      </w:pPr>
    </w:p>
    <w:p w:rsidR="008446FD" w:rsidRDefault="003D75FE">
      <w:pPr>
        <w:spacing w:after="160" w:line="276" w:lineRule="auto"/>
        <w:jc w:val="both"/>
      </w:pPr>
      <w:r>
        <w:rPr>
          <w:color w:val="1A202C"/>
        </w:rPr>
        <w:t>The namespace for all ontology entities is http://www.se</w:t>
      </w:r>
      <w:r>
        <w:rPr>
          <w:color w:val="1A202C"/>
        </w:rPr>
        <w:t>manticweb.org/beyza/ontologies/2026/healthcare#, aliased as hdo: throughout this document. The ontology is serialized in RDF Turtle format as healthcare-v4.ttl and can be opened in Protégé for interactive exploration and reasoning.</w:t>
      </w:r>
    </w:p>
    <w:p w:rsidR="008446FD" w:rsidRDefault="003D75FE">
      <w:pPr>
        <w:pStyle w:val="Balk2"/>
      </w:pPr>
      <w:r>
        <w:t>3.2 Classes</w:t>
      </w:r>
    </w:p>
    <w:p w:rsidR="008446FD" w:rsidRDefault="003D75FE">
      <w:pPr>
        <w:spacing w:after="160" w:line="276" w:lineRule="auto"/>
        <w:jc w:val="both"/>
      </w:pPr>
      <w:r>
        <w:rPr>
          <w:color w:val="1A202C"/>
        </w:rPr>
        <w:t>The ontology</w:t>
      </w:r>
      <w:r>
        <w:rPr>
          <w:color w:val="1A202C"/>
        </w:rPr>
        <w:t xml:space="preserve"> defines 11 OWL classes forming the TBox. All classes are subclasses of owl:Thing. No explicit disjointness axioms are added at this stage, keeping the ontology open for extension.</w:t>
      </w:r>
    </w:p>
    <w:p w:rsidR="008446FD" w:rsidRDefault="008446FD">
      <w:pPr>
        <w:spacing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57"/>
        <w:gridCol w:w="6703"/>
      </w:tblGrid>
      <w:tr w:rsidR="008446FD">
        <w:trPr>
          <w:tblHeader/>
        </w:trPr>
        <w:tc>
          <w:tcPr>
            <w:tcW w:w="252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Class</w:t>
            </w:r>
          </w:p>
        </w:tc>
        <w:tc>
          <w:tcPr>
            <w:tcW w:w="68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Description</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w:t>
            </w:r>
          </w:p>
        </w:tc>
        <w:tc>
          <w:tcPr>
            <w:tcW w:w="68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An individual receiving medical attention. Carries clinical profile data properties and object property links to symptoms, tests, alerts, and recommendations.</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Disease</w:t>
            </w:r>
          </w:p>
        </w:tc>
        <w:tc>
          <w:tcPr>
            <w:tcW w:w="68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 medical condition associated with characteristic symptoms and applicable treatments. Sourced from DOID with standardized identifiers and textual descriptions.</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Symptom</w:t>
            </w:r>
          </w:p>
        </w:tc>
        <w:tc>
          <w:tcPr>
            <w:tcW w:w="68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 xml:space="preserve">An observable clinical condition that may be reported by a patient or associated with </w:t>
            </w:r>
            <w:r>
              <w:rPr>
                <w:color w:val="1A202C"/>
                <w:sz w:val="19"/>
                <w:szCs w:val="19"/>
              </w:rPr>
              <w:t>a disease. Serves as the pivot for the property chain inference mechanism.</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Treatment</w:t>
            </w:r>
          </w:p>
        </w:tc>
        <w:tc>
          <w:tcPr>
            <w:tcW w:w="68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 medical intervention applicable to a disease. Linked to diseases via the hasTreatment object property.</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Diagnosis</w:t>
            </w:r>
          </w:p>
        </w:tc>
        <w:tc>
          <w:tcPr>
            <w:tcW w:w="68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Represents an inferred disease identification for a patient. Generated by the reasoner through property chain evaluation.</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DiagnosticTest</w:t>
            </w:r>
          </w:p>
        </w:tc>
        <w:tc>
          <w:tcPr>
            <w:tcW w:w="68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 medical test assigned to a patient based on clinical criteria. Targets of the requiresTest property.</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RiskAssessment</w:t>
            </w:r>
          </w:p>
        </w:tc>
        <w:tc>
          <w:tcPr>
            <w:tcW w:w="68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 structured evaluation of a patient's clinical risk level.</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ClinicalAlert</w:t>
            </w:r>
          </w:p>
        </w:tc>
        <w:tc>
          <w:tcPr>
            <w:tcW w:w="68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 healthcare alert triggered by patient clinical data. Carries an alert message data property.</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PatientObservation</w:t>
            </w:r>
          </w:p>
        </w:tc>
        <w:tc>
          <w:tcPr>
            <w:tcW w:w="68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 structured clinical observation linked to a patient individual.</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DiagnosticRecommendation</w:t>
            </w:r>
          </w:p>
        </w:tc>
        <w:tc>
          <w:tcPr>
            <w:tcW w:w="68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 recommended clinical action or specialist referral for a patient.</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ClinicalRule</w:t>
            </w:r>
          </w:p>
        </w:tc>
        <w:tc>
          <w:tcPr>
            <w:tcW w:w="68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Represents SWRL-based clinical reasoning rules within the ontology.</w:t>
            </w:r>
          </w:p>
        </w:tc>
      </w:tr>
    </w:tbl>
    <w:p w:rsidR="008446FD" w:rsidRDefault="008446FD">
      <w:pPr>
        <w:spacing w:after="160"/>
      </w:pPr>
    </w:p>
    <w:p w:rsidR="008446FD" w:rsidRDefault="003D75FE">
      <w:pPr>
        <w:pStyle w:val="Balk2"/>
      </w:pPr>
      <w:r>
        <w:t>3.3 Object Properties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55"/>
        <w:gridCol w:w="1413"/>
        <w:gridCol w:w="2657"/>
        <w:gridCol w:w="3035"/>
      </w:tblGrid>
      <w:tr w:rsidR="008446FD">
        <w:trPr>
          <w:tblHeader/>
        </w:trPr>
        <w:tc>
          <w:tcPr>
            <w:tcW w:w="23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Property</w:t>
            </w:r>
          </w:p>
        </w:tc>
        <w:tc>
          <w:tcPr>
            <w:tcW w:w="162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Domain</w:t>
            </w:r>
          </w:p>
        </w:tc>
        <w:tc>
          <w:tcPr>
            <w:tcW w:w="18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Range</w:t>
            </w:r>
          </w:p>
        </w:tc>
        <w:tc>
          <w:tcPr>
            <w:tcW w:w="36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Characteristics</w:t>
            </w:r>
          </w:p>
        </w:tc>
      </w:tr>
      <w:tr w:rsidR="008446FD">
        <w:tc>
          <w:tcPr>
            <w:tcW w:w="23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hasSymptom</w:t>
            </w:r>
          </w:p>
        </w:tc>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Disease</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Symptom</w:t>
            </w:r>
          </w:p>
        </w:tc>
        <w:tc>
          <w:tcPr>
            <w:tcW w:w="36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Links a disease to its characteristic clinical symptoms.</w:t>
            </w:r>
          </w:p>
        </w:tc>
      </w:tr>
      <w:tr w:rsidR="008446FD">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hasTreatment</w:t>
            </w:r>
          </w:p>
        </w:tc>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Disease</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Treatment</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Links a disease to applicable medical treatments.</w:t>
            </w:r>
          </w:p>
        </w:tc>
      </w:tr>
      <w:tr w:rsidR="008446FD">
        <w:tc>
          <w:tcPr>
            <w:tcW w:w="23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reportsSymptom</w:t>
            </w:r>
          </w:p>
        </w:tc>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Symptom</w:t>
            </w:r>
          </w:p>
        </w:tc>
        <w:tc>
          <w:tcPr>
            <w:tcW w:w="36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Links a patient to symptoms they have reported. Used in the property chain axiom.</w:t>
            </w:r>
          </w:p>
        </w:tc>
      </w:tr>
      <w:tr w:rsidR="008446FD">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possibleDiagnosis</w:t>
            </w:r>
          </w:p>
        </w:tc>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Disease</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Inferred via property chain — no manual ABox assertion is required or made.</w:t>
            </w:r>
          </w:p>
        </w:tc>
      </w:tr>
      <w:tr w:rsidR="008446FD">
        <w:tc>
          <w:tcPr>
            <w:tcW w:w="23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requiresTest</w:t>
            </w:r>
          </w:p>
        </w:tc>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DiagnosticTest</w:t>
            </w:r>
          </w:p>
        </w:tc>
        <w:tc>
          <w:tcPr>
            <w:tcW w:w="36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Links a patient to the diagnostic test(s) required. Assigned manually or via SWRL.</w:t>
            </w:r>
          </w:p>
        </w:tc>
      </w:tr>
      <w:tr w:rsidR="008446FD">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triggersAlert</w:t>
            </w:r>
          </w:p>
        </w:tc>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ClinicalAlert</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Links a patient to clinical alerts generated based on their profile.</w:t>
            </w:r>
          </w:p>
        </w:tc>
      </w:tr>
      <w:tr w:rsidR="008446FD">
        <w:tc>
          <w:tcPr>
            <w:tcW w:w="23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hasRecommendation</w:t>
            </w:r>
          </w:p>
        </w:tc>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DiagnosticRecommendation</w:t>
            </w:r>
          </w:p>
        </w:tc>
        <w:tc>
          <w:tcPr>
            <w:tcW w:w="36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Links a patient to clinical recommendations.</w:t>
            </w:r>
          </w:p>
        </w:tc>
      </w:tr>
      <w:tr w:rsidR="008446FD">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hasRiskAssessment</w:t>
            </w:r>
          </w:p>
        </w:tc>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RiskAssessment</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Structured risk evaluation associated with a patient.</w:t>
            </w:r>
          </w:p>
        </w:tc>
      </w:tr>
      <w:tr w:rsidR="008446FD">
        <w:tc>
          <w:tcPr>
            <w:tcW w:w="23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basedOnObservation</w:t>
            </w:r>
          </w:p>
        </w:tc>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PatientObservation</w:t>
            </w:r>
          </w:p>
        </w:tc>
        <w:tc>
          <w:tcPr>
            <w:tcW w:w="36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Links a patient to structured clinical observations.</w:t>
            </w:r>
          </w:p>
        </w:tc>
      </w:tr>
    </w:tbl>
    <w:p w:rsidR="008446FD" w:rsidRDefault="008446FD">
      <w:pPr>
        <w:spacing w:after="160"/>
      </w:pPr>
    </w:p>
    <w:p w:rsidR="008446FD" w:rsidRDefault="003D75FE">
      <w:pPr>
        <w:pStyle w:val="Balk2"/>
      </w:pPr>
      <w:r>
        <w:t>3.4 Data Properties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00"/>
        <w:gridCol w:w="1800"/>
        <w:gridCol w:w="1800"/>
        <w:gridCol w:w="3060"/>
      </w:tblGrid>
      <w:tr w:rsidR="008446FD">
        <w:trPr>
          <w:tblHeader/>
        </w:trPr>
        <w:tc>
          <w:tcPr>
            <w:tcW w:w="27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Property</w:t>
            </w:r>
          </w:p>
        </w:tc>
        <w:tc>
          <w:tcPr>
            <w:tcW w:w="18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Domain</w:t>
            </w:r>
          </w:p>
        </w:tc>
        <w:tc>
          <w:tcPr>
            <w:tcW w:w="18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Range</w:t>
            </w:r>
          </w:p>
        </w:tc>
        <w:tc>
          <w:tcPr>
            <w:tcW w:w="306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SHACL Constraint</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hasSymptomDuration</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xsd:integer</w:t>
            </w:r>
          </w:p>
        </w:tc>
        <w:tc>
          <w:tcPr>
            <w:tcW w:w="30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minCount 1, maxCount 1, minInclusive 1</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hasFeverStatus</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xsd:string</w:t>
            </w:r>
          </w:p>
        </w:tc>
        <w:tc>
          <w:tcPr>
            <w:tcW w:w="30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sh:in ("Yes" "No"), maxCount 1</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hasRiskLevel</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xsd:string</w:t>
            </w:r>
          </w:p>
        </w:tc>
        <w:tc>
          <w:tcPr>
            <w:tcW w:w="30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sh:in ("Low" "</w:t>
            </w:r>
            <w:r>
              <w:rPr>
                <w:color w:val="1A202C"/>
                <w:sz w:val="19"/>
                <w:szCs w:val="19"/>
              </w:rPr>
              <w:t>Medium" "High"), maxCount 1</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hasAge</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xsd:integer</w:t>
            </w:r>
          </w:p>
        </w:tc>
        <w:tc>
          <w:tcPr>
            <w:tcW w:w="30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minInclusive 0, maxInclusive 130, maxCount 1</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hasGender</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xsd:string</w:t>
            </w:r>
          </w:p>
        </w:tc>
        <w:tc>
          <w:tcPr>
            <w:tcW w:w="30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sh:in ("Male" "Female" "Other"), maxCount 1</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hasAlertMessage</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ClinicalAlert</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xsd:string</w:t>
            </w:r>
          </w:p>
        </w:tc>
        <w:tc>
          <w:tcPr>
            <w:tcW w:w="30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minLength 10, maxCount 1</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hasDOID</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Disease</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xsd:string</w:t>
            </w:r>
          </w:p>
        </w:tc>
        <w:tc>
          <w:tcPr>
            <w:tcW w:w="30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minCount 1, maxCount 1</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hasDescription</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Disease</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xsd:string</w:t>
            </w:r>
          </w:p>
        </w:tc>
        <w:tc>
          <w:tcPr>
            <w:tcW w:w="30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minCount 1, maxCount 1</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hasCategory</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Disease</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xsd:string</w:t>
            </w:r>
          </w:p>
        </w:tc>
        <w:tc>
          <w:tcPr>
            <w:tcW w:w="30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sh:in (10 valid categories), maxCount 1</w:t>
            </w:r>
          </w:p>
        </w:tc>
      </w:tr>
    </w:tbl>
    <w:p w:rsidR="008446FD" w:rsidRDefault="008446FD">
      <w:pPr>
        <w:spacing w:after="160"/>
      </w:pPr>
    </w:p>
    <w:p w:rsidR="008446FD" w:rsidRDefault="003D75FE">
      <w:pPr>
        <w:pStyle w:val="Balk2"/>
      </w:pPr>
      <w:r>
        <w:t>3.5 Property Chain Axiom</w:t>
      </w:r>
    </w:p>
    <w:p w:rsidR="008446FD" w:rsidRDefault="003D75FE">
      <w:pPr>
        <w:spacing w:after="160" w:line="276" w:lineRule="auto"/>
        <w:jc w:val="both"/>
      </w:pPr>
      <w:r>
        <w:rPr>
          <w:color w:val="1A202C"/>
        </w:rPr>
        <w:t>The central inference mechanism of the ontology is defined by the following OWL 2 Sub-Object-Property-Chain axiom at the TBox level:</w:t>
      </w:r>
    </w:p>
    <w:p w:rsidR="008446FD" w:rsidRDefault="008446FD">
      <w:pPr>
        <w:spacing w:after="80"/>
      </w:pPr>
    </w:p>
    <w:p w:rsidR="008446FD" w:rsidRDefault="003D75FE">
      <w:pPr>
        <w:shd w:val="clear" w:color="auto" w:fill="EDF2F7"/>
        <w:spacing w:before="60" w:after="60"/>
        <w:ind w:left="400"/>
      </w:pPr>
      <w:r>
        <w:rPr>
          <w:rFonts w:ascii="Courier New" w:eastAsia="Courier New" w:hAnsi="Courier New" w:cs="Courier New"/>
          <w:color w:val="2D3748"/>
          <w:sz w:val="18"/>
          <w:szCs w:val="18"/>
        </w:rPr>
        <w:t>ObjectPropertyChain( hdo:reportsSymptom ObjectInverseOf(hdo:hasSymptom) ) SubObjectPropertyOf( hdo:possibleDiagnosis )</w:t>
      </w:r>
    </w:p>
    <w:p w:rsidR="008446FD" w:rsidRDefault="008446FD">
      <w:pPr>
        <w:spacing w:after="80"/>
      </w:pPr>
    </w:p>
    <w:p w:rsidR="008446FD" w:rsidRDefault="003D75FE">
      <w:pPr>
        <w:spacing w:after="160" w:line="276" w:lineRule="auto"/>
        <w:jc w:val="both"/>
      </w:pPr>
      <w:r>
        <w:rPr>
          <w:color w:val="1A202C"/>
        </w:rPr>
        <w:t>In</w:t>
      </w:r>
      <w:r>
        <w:rPr>
          <w:color w:val="1A202C"/>
        </w:rPr>
        <w:t xml:space="preserve"> Manchester Syntax, this is expressed as:</w:t>
      </w:r>
    </w:p>
    <w:p w:rsidR="008446FD" w:rsidRDefault="003D75FE">
      <w:pPr>
        <w:shd w:val="clear" w:color="auto" w:fill="EDF2F7"/>
        <w:spacing w:before="60" w:after="60"/>
        <w:ind w:left="400"/>
      </w:pPr>
      <w:r>
        <w:rPr>
          <w:rFonts w:ascii="Courier New" w:eastAsia="Courier New" w:hAnsi="Courier New" w:cs="Courier New"/>
          <w:color w:val="2D3748"/>
          <w:sz w:val="18"/>
          <w:szCs w:val="18"/>
        </w:rPr>
        <w:t>reportsSymptom o inverse(hasSymptom) SubPropertyOf: possibleDiagnosis</w:t>
      </w:r>
    </w:p>
    <w:p w:rsidR="008446FD" w:rsidRDefault="008446FD">
      <w:pPr>
        <w:spacing w:after="160"/>
      </w:pPr>
    </w:p>
    <w:p w:rsidR="008446FD" w:rsidRDefault="003D75FE">
      <w:pPr>
        <w:spacing w:after="160" w:line="276" w:lineRule="auto"/>
        <w:jc w:val="both"/>
      </w:pPr>
      <w:r>
        <w:rPr>
          <w:color w:val="1A202C"/>
        </w:rPr>
        <w:t>The semantics are as follows: for any patient p and disease d, if there exists a symptom s such that p reportsSymptom s and d hasSymptom s, the</w:t>
      </w:r>
      <w:r>
        <w:rPr>
          <w:color w:val="1A202C"/>
        </w:rPr>
        <w:t>n the reasoner infers that p possibleDiagnosis d. This axiom is evaluated by the HermiT OWL reasoner in Protégé. No possibleDiagnosis triples are asserted manually in the ABox — all diagnostic inferences are produced by the reasoner at runtime.</w:t>
      </w:r>
    </w:p>
    <w:p w:rsidR="008446FD" w:rsidRDefault="008446FD">
      <w:pPr>
        <w:spacing w:after="160"/>
      </w:pPr>
    </w:p>
    <w:p w:rsidR="008446FD" w:rsidRDefault="003D75FE">
      <w:pPr>
        <w:spacing w:after="160" w:line="276" w:lineRule="auto"/>
        <w:jc w:val="both"/>
      </w:pPr>
      <w:r>
        <w:rPr>
          <w:color w:val="1A202C"/>
        </w:rPr>
        <w:t>As an example: patient Ali reports Cough, Fever, NightSweats, and WeightLoss. The disease Tuberculosis has the symptoms Cough, Fever, NightSweats, WeightLoss, and Fatigue. Because Ali shares four symptoms with Tuberculosis, the reasoner infers hdo:Ali hdo:</w:t>
      </w:r>
      <w:r>
        <w:rPr>
          <w:color w:val="1A202C"/>
        </w:rPr>
        <w:t>possibleDiagnosis hdo:Tuberculosis. The same mechanism applies across all 50 diseases and 20 patients.</w:t>
      </w:r>
    </w:p>
    <w:p w:rsidR="008446FD" w:rsidRDefault="003D75FE">
      <w:pPr>
        <w:pStyle w:val="Balk2"/>
      </w:pPr>
      <w:r>
        <w:t>3.6 SWRL Clinical Reasoning Rule</w:t>
      </w:r>
    </w:p>
    <w:p w:rsidR="008446FD" w:rsidRDefault="003D75FE">
      <w:pPr>
        <w:spacing w:after="160" w:line="276" w:lineRule="auto"/>
        <w:jc w:val="both"/>
      </w:pPr>
      <w:r>
        <w:rPr>
          <w:color w:val="1A202C"/>
        </w:rPr>
        <w:t>The following SWRL rule automates diagnostic test assignment for patients presenting with prolonged symptomatic fever, a</w:t>
      </w:r>
      <w:r>
        <w:rPr>
          <w:color w:val="1A202C"/>
        </w:rPr>
        <w:t xml:space="preserve"> clinical pattern associated with respiratory or infectious conditions requiring sputum analysis:</w:t>
      </w:r>
    </w:p>
    <w:p w:rsidR="008446FD" w:rsidRDefault="008446FD">
      <w:pPr>
        <w:spacing w:after="80"/>
      </w:pPr>
    </w:p>
    <w:p w:rsidR="008446FD" w:rsidRDefault="003D75FE">
      <w:pPr>
        <w:shd w:val="clear" w:color="auto" w:fill="EDF2F7"/>
        <w:spacing w:before="60" w:after="60"/>
        <w:ind w:left="400"/>
      </w:pPr>
      <w:r>
        <w:rPr>
          <w:rFonts w:ascii="Courier New" w:eastAsia="Courier New" w:hAnsi="Courier New" w:cs="Courier New"/>
          <w:color w:val="2D3748"/>
          <w:sz w:val="18"/>
          <w:szCs w:val="18"/>
        </w:rPr>
        <w:t>Patient(?p) ^ hasSymptomDuration(?p, ?d) ^ swrlb:greaterThan(?d, 13)</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 hasFeverStatus(?p, "Yes")</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-&gt; requiresTest(?p, SputumTest)</w:t>
      </w:r>
    </w:p>
    <w:p w:rsidR="008446FD" w:rsidRDefault="008446FD">
      <w:pPr>
        <w:spacing w:after="160"/>
      </w:pPr>
    </w:p>
    <w:p w:rsidR="008446FD" w:rsidRDefault="003D75FE">
      <w:pPr>
        <w:spacing w:after="160" w:line="276" w:lineRule="auto"/>
        <w:jc w:val="both"/>
      </w:pPr>
      <w:r>
        <w:rPr>
          <w:color w:val="1A202C"/>
        </w:rPr>
        <w:t xml:space="preserve">This </w:t>
      </w:r>
      <w:r>
        <w:rPr>
          <w:color w:val="1A202C"/>
        </w:rPr>
        <w:t xml:space="preserve">rule fires for any Patient individual whose hasSymptomDuration value exceeds 13 days and whose hasFeverStatus value is "Yes", assigning the SputumTest diagnostic test. In the v4 ABox, this rule matches patients Ali (14 days, fever Yes) and Selin (45 days, </w:t>
      </w:r>
      <w:r>
        <w:rPr>
          <w:color w:val="1A202C"/>
        </w:rPr>
        <w:t>fever Yes). The rule is defined within Protégé using SWRLTab and evaluated by the HermiT/Drools reasoning combination. In the RDFLib environment, the equivalent FILTER clause in Q10 simulates this condition for SPARQL-based verification.</w:t>
      </w:r>
    </w:p>
    <w:p w:rsidR="008446FD" w:rsidRDefault="003D75FE">
      <w:r>
        <w:br w:type="page"/>
      </w:r>
    </w:p>
    <w:p w:rsidR="008446FD" w:rsidRDefault="003D75FE">
      <w:pPr>
        <w:pStyle w:val="Balk1"/>
      </w:pPr>
      <w:r>
        <w:t>4. Data Acquisit</w:t>
      </w:r>
      <w:r>
        <w:t>ion</w:t>
      </w:r>
    </w:p>
    <w:p w:rsidR="008446FD" w:rsidRDefault="003D75FE">
      <w:pPr>
        <w:pStyle w:val="Balk2"/>
      </w:pPr>
      <w:r>
        <w:t>4.1 Primary Data Source</w:t>
      </w:r>
    </w:p>
    <w:p w:rsidR="008446FD" w:rsidRDefault="003D75FE">
      <w:pPr>
        <w:spacing w:after="160" w:line="276" w:lineRule="auto"/>
        <w:jc w:val="both"/>
      </w:pPr>
      <w:r>
        <w:rPr>
          <w:color w:val="1A202C"/>
        </w:rPr>
        <w:t>The primary data source for disease entities is the Human Disease Ontology (DO), a community-developed, OBO Foundry-registered ontology that provides standardized identifiers (DOID), textual definitions, and cross-references to clinical coding systems incl</w:t>
      </w:r>
      <w:r>
        <w:rPr>
          <w:color w:val="1A202C"/>
        </w:rPr>
        <w:t>uding ICD-10, OMIM, and MeSH. The Disease Ontology is maintained by the Institute for Genome Sciences at the University of Maryland School of Medicine and is available at http://disease-ontology.org.</w:t>
      </w:r>
    </w:p>
    <w:p w:rsidR="008446FD" w:rsidRDefault="008446FD">
      <w:pPr>
        <w:spacing w:after="160"/>
      </w:pPr>
    </w:p>
    <w:p w:rsidR="008446FD" w:rsidRDefault="003D75FE">
      <w:pPr>
        <w:spacing w:after="160" w:line="276" w:lineRule="auto"/>
        <w:jc w:val="both"/>
      </w:pPr>
      <w:r>
        <w:rPr>
          <w:color w:val="1A202C"/>
        </w:rPr>
        <w:t>The initial project scope of three diseases (Influenza,</w:t>
      </w:r>
      <w:r>
        <w:rPr>
          <w:color w:val="1A202C"/>
        </w:rPr>
        <w:t xml:space="preserve"> COVID-19, Asthma) was expanded to 50 diseases through systematic selection from DOID, prioritizing clinically significant conditions with well-defined symptom profiles and coverage across multiple organ systems. Symptom and treatment information was extra</w:t>
      </w:r>
      <w:r>
        <w:rPr>
          <w:color w:val="1A202C"/>
        </w:rPr>
        <w:t>cted from DOID annotations and supplemented with information from standard clinical references.</w:t>
      </w:r>
    </w:p>
    <w:p w:rsidR="008446FD" w:rsidRDefault="003D75FE">
      <w:pPr>
        <w:pStyle w:val="Balk2"/>
      </w:pPr>
      <w:r>
        <w:t>4.2 Dataset Statistics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60"/>
        <w:gridCol w:w="1440"/>
        <w:gridCol w:w="4560"/>
      </w:tblGrid>
      <w:tr w:rsidR="008446FD">
        <w:trPr>
          <w:tblHeader/>
        </w:trPr>
        <w:tc>
          <w:tcPr>
            <w:tcW w:w="336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Entity Type</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Count</w:t>
            </w:r>
          </w:p>
        </w:tc>
        <w:tc>
          <w:tcPr>
            <w:tcW w:w="456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Source</w:t>
            </w:r>
          </w:p>
        </w:tc>
      </w:tr>
      <w:tr w:rsidR="008446FD">
        <w:tc>
          <w:tcPr>
            <w:tcW w:w="33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Diseases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50</w:t>
            </w:r>
          </w:p>
        </w:tc>
        <w:tc>
          <w:tcPr>
            <w:tcW w:w="45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Disease Ontology (DOID) — systematic selection across 10 categories</w:t>
            </w:r>
          </w:p>
        </w:tc>
      </w:tr>
      <w:tr w:rsidR="008446FD">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Symptoms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103</w:t>
            </w:r>
          </w:p>
        </w:tc>
        <w:tc>
          <w:tcPr>
            <w:tcW w:w="4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 symptom annotations and clinical reference literature</w:t>
            </w:r>
          </w:p>
        </w:tc>
      </w:tr>
      <w:tr w:rsidR="008446FD">
        <w:tc>
          <w:tcPr>
            <w:tcW w:w="33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Treatments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99</w:t>
            </w:r>
          </w:p>
        </w:tc>
        <w:tc>
          <w:tcPr>
            <w:tcW w:w="45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Clinical pharmacology and treatment guideline references</w:t>
            </w:r>
          </w:p>
        </w:tc>
      </w:tr>
      <w:tr w:rsidR="008446FD">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Patients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20</w:t>
            </w:r>
          </w:p>
        </w:tc>
        <w:tc>
          <w:tcPr>
            <w:tcW w:w="4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Manually authored ABox instances with realistic clinical profiles</w:t>
            </w:r>
          </w:p>
        </w:tc>
      </w:tr>
      <w:tr w:rsidR="008446FD">
        <w:tc>
          <w:tcPr>
            <w:tcW w:w="33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Diagnostic Tests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25</w:t>
            </w:r>
          </w:p>
        </w:tc>
        <w:tc>
          <w:tcPr>
            <w:tcW w:w="45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Clinical diagnostic test reference; assigned per clinical indication</w:t>
            </w:r>
          </w:p>
        </w:tc>
      </w:tr>
      <w:tr w:rsidR="008446FD">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Clinical Alerts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12</w:t>
            </w:r>
          </w:p>
        </w:tc>
        <w:tc>
          <w:tcPr>
            <w:tcW w:w="4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Custom design based on clinical urgency criteria</w:t>
            </w:r>
          </w:p>
        </w:tc>
      </w:tr>
      <w:tr w:rsidR="008446FD">
        <w:tc>
          <w:tcPr>
            <w:tcW w:w="33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Diagnostic Recommendations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12</w:t>
            </w:r>
          </w:p>
        </w:tc>
        <w:tc>
          <w:tcPr>
            <w:tcW w:w="45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Custom design based on specialist referral pathways</w:t>
            </w:r>
          </w:p>
        </w:tc>
      </w:tr>
      <w:tr w:rsidR="008446FD">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Total RDF Triples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1,925</w:t>
            </w:r>
          </w:p>
        </w:tc>
        <w:tc>
          <w:tcPr>
            <w:tcW w:w="4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Generated programmatically by kg_builder_v4.py</w:t>
            </w:r>
          </w:p>
        </w:tc>
      </w:tr>
    </w:tbl>
    <w:p w:rsidR="008446FD" w:rsidRDefault="008446FD">
      <w:pPr>
        <w:spacing w:after="160"/>
      </w:pPr>
    </w:p>
    <w:p w:rsidR="008446FD" w:rsidRDefault="003D75FE">
      <w:pPr>
        <w:pStyle w:val="Balk2"/>
      </w:pPr>
      <w:r>
        <w:t>4.3 Disease Category Distribution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900"/>
        <w:gridCol w:w="6660"/>
      </w:tblGrid>
      <w:tr w:rsidR="008446FD">
        <w:trPr>
          <w:tblHeader/>
        </w:trPr>
        <w:tc>
          <w:tcPr>
            <w:tcW w:w="18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Category</w:t>
            </w:r>
          </w:p>
        </w:tc>
        <w:tc>
          <w:tcPr>
            <w:tcW w:w="9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Count</w:t>
            </w:r>
          </w:p>
        </w:tc>
        <w:tc>
          <w:tcPr>
            <w:tcW w:w="666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Diseases Included</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15</w:t>
            </w:r>
          </w:p>
        </w:tc>
        <w:tc>
          <w:tcPr>
            <w:tcW w:w="66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Influenza, COVID-19, Tuberculosis, Pneumonia, Dengue, Malaria, Cholera, Chickenpox, Typhoid, Hepatitis, Measles, Mumps, Rabies, Leptospirosis, Schistosomiasis</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Neurological</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66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Migraine, Alzheimer, Epilepsy, Parkinson, MultipleSclerosis, Meningitis</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Autoimmune</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w:t>
            </w:r>
          </w:p>
        </w:tc>
        <w:tc>
          <w:tcPr>
            <w:tcW w:w="66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RheumatoidArthritis, Lupus, Psoriasis, CeliacDisease, Sarcoidosis</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Cardiovascular</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5</w:t>
            </w:r>
          </w:p>
        </w:tc>
        <w:tc>
          <w:tcPr>
            <w:tcW w:w="66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Hypertension, HeartFailure, CoronaryArteryDisease, Stroke, Arrhythmia</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Metabolic</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w:t>
            </w:r>
          </w:p>
        </w:tc>
        <w:tc>
          <w:tcPr>
            <w:tcW w:w="66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Diabetes, Hypothyroidism, Hyperthyroidism, Gout, Obesity</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Respiratory</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5</w:t>
            </w:r>
          </w:p>
        </w:tc>
        <w:tc>
          <w:tcPr>
            <w:tcW w:w="66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Asthma, Bronchitis, COPD, PulmonaryFibrosis, SleepApnea</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Hematological</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c>
          <w:tcPr>
            <w:tcW w:w="66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Anemia, Leukemia, Hemophilia</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Surgical</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4</w:t>
            </w:r>
          </w:p>
        </w:tc>
        <w:tc>
          <w:tcPr>
            <w:tcW w:w="66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Appendicitis, GallstoneDisease, KidneyStones, HerniatedDisc</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Renal</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1</w:t>
            </w:r>
          </w:p>
        </w:tc>
        <w:tc>
          <w:tcPr>
            <w:tcW w:w="66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KidneyDisease</w:t>
            </w:r>
          </w:p>
        </w:tc>
      </w:tr>
      <w:tr w:rsidR="008446FD">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Musculoskeletal</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w:t>
            </w:r>
          </w:p>
        </w:tc>
        <w:tc>
          <w:tcPr>
            <w:tcW w:w="66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Osteoporosis</w:t>
            </w:r>
          </w:p>
        </w:tc>
      </w:tr>
    </w:tbl>
    <w:p w:rsidR="008446FD" w:rsidRDefault="008446FD">
      <w:pPr>
        <w:spacing w:after="160"/>
      </w:pPr>
    </w:p>
    <w:p w:rsidR="008446FD" w:rsidRDefault="003D75FE">
      <w:pPr>
        <w:pStyle w:val="Balk2"/>
      </w:pPr>
      <w:r>
        <w:t>4.4 Patient Profile Design</w:t>
      </w:r>
    </w:p>
    <w:p w:rsidR="008446FD" w:rsidRDefault="003D75FE">
      <w:pPr>
        <w:spacing w:after="160" w:line="276" w:lineRule="auto"/>
        <w:jc w:val="both"/>
      </w:pPr>
      <w:r>
        <w:rPr>
          <w:color w:val="1A202C"/>
        </w:rPr>
        <w:t>Twenty patient individuals were authored to represent diverse demographic profiles, symptom presentations, and clinical risk levels. Each patient is defined with the following attributes: name (rdfs:label), age, gender, risk leve</w:t>
      </w:r>
      <w:r>
        <w:rPr>
          <w:color w:val="1A202C"/>
        </w:rPr>
        <w:t>l (Low/Medium/High), fever status (Yes/No), symptom duration in days, a set of reported symptoms, a required diagnostic test, an optional clinical alert, and at least one diagnostic recommendation. Risk levels and clinical assignments are consistent with t</w:t>
      </w:r>
      <w:r>
        <w:rPr>
          <w:color w:val="1A202C"/>
        </w:rPr>
        <w:t>he symptoms reported by each patient, providing a coherent and clinically plausible ABox.</w:t>
      </w:r>
    </w:p>
    <w:p w:rsidR="008446FD" w:rsidRDefault="008446FD">
      <w:pPr>
        <w:spacing w:after="160"/>
      </w:pPr>
    </w:p>
    <w:p w:rsidR="008446FD" w:rsidRDefault="003D75FE">
      <w:pPr>
        <w:spacing w:after="160" w:line="276" w:lineRule="auto"/>
        <w:jc w:val="both"/>
      </w:pPr>
      <w:r>
        <w:rPr>
          <w:color w:val="1A202C"/>
        </w:rPr>
        <w:t xml:space="preserve">The 20 patients span age groups from 27 to 74 years, include 10 male and 10 female individuals, and cover all three risk levels. Symptom durations range from 2 days </w:t>
      </w:r>
      <w:r>
        <w:rPr>
          <w:color w:val="1A202C"/>
        </w:rPr>
        <w:t>(acute surgical presentation) to 180 days (chronic neurodegenerative condition). Eight distinct diagnostic test types are assigned across the cohort, and 9 of the 12 clinical alert types are triggered by at least one patient.</w:t>
      </w:r>
    </w:p>
    <w:p w:rsidR="008446FD" w:rsidRDefault="003D75FE">
      <w:r>
        <w:br w:type="page"/>
      </w:r>
    </w:p>
    <w:p w:rsidR="008446FD" w:rsidRDefault="003D75FE">
      <w:pPr>
        <w:pStyle w:val="Balk1"/>
      </w:pPr>
      <w:r>
        <w:t>5. Knowledge Graph Construct</w:t>
      </w:r>
      <w:r>
        <w:t>ion</w:t>
      </w:r>
    </w:p>
    <w:p w:rsidR="008446FD" w:rsidRDefault="003D75FE">
      <w:pPr>
        <w:pStyle w:val="Balk2"/>
      </w:pPr>
      <w:r>
        <w:t>5.1 RDF Data Model</w:t>
      </w:r>
    </w:p>
    <w:p w:rsidR="008446FD" w:rsidRDefault="003D75FE">
      <w:pPr>
        <w:spacing w:after="160" w:line="276" w:lineRule="auto"/>
        <w:jc w:val="both"/>
      </w:pPr>
      <w:r>
        <w:rPr>
          <w:color w:val="1A202C"/>
        </w:rPr>
        <w:t>The knowledge graph is built on the Resource Description Framework (RDF), in which all knowledge is expressed as subject–predicate–object triples. The ontology uses Named Individuals (owl:NamedIndividual) for all domain entities, ena</w:t>
      </w:r>
      <w:r>
        <w:rPr>
          <w:color w:val="1A202C"/>
        </w:rPr>
        <w:t>bling both class membership assertions and property relationship assertions within the same individual. All triples are serialized in Turtle (Terse RDF Triple Language) format, which provides human-readable, compact representation of RDF graphs.</w:t>
      </w:r>
    </w:p>
    <w:p w:rsidR="008446FD" w:rsidRDefault="003D75FE">
      <w:pPr>
        <w:pStyle w:val="Balk2"/>
      </w:pPr>
      <w:r>
        <w:t>5.2 Namesp</w:t>
      </w:r>
      <w:r>
        <w:t>ace and URI Design</w:t>
      </w:r>
    </w:p>
    <w:p w:rsidR="008446FD" w:rsidRDefault="003D75FE">
      <w:pPr>
        <w:spacing w:after="160" w:line="276" w:lineRule="auto"/>
        <w:jc w:val="both"/>
      </w:pPr>
      <w:r>
        <w:rPr>
          <w:color w:val="1A202C"/>
        </w:rPr>
        <w:t>All ontology entities share the base namespace http://www.semanticweb.org/beyza/ontologies/2026/healthcare# (alias hdo:). Individual URIs are constructed from CamelCase forms of entity names (e.g., hdo:Tuberculosis, hdo:NightSweats, hdo:</w:t>
      </w:r>
      <w:r>
        <w:rPr>
          <w:color w:val="1A202C"/>
        </w:rPr>
        <w:t>IsoniazidRifampin) to ensure URI validity and readability. Standard prefixes are used for OWL, RDF, RDFS, and XSD vocabularies.</w:t>
      </w:r>
    </w:p>
    <w:p w:rsidR="008446FD" w:rsidRDefault="003D75FE">
      <w:pPr>
        <w:pStyle w:val="Balk2"/>
      </w:pPr>
      <w:r>
        <w:t>5.3 Representative ABox Triples</w:t>
      </w:r>
    </w:p>
    <w:p w:rsidR="008446FD" w:rsidRDefault="003D75FE">
      <w:pPr>
        <w:spacing w:after="160" w:line="276" w:lineRule="auto"/>
        <w:jc w:val="both"/>
      </w:pPr>
      <w:r>
        <w:rPr>
          <w:color w:val="1A202C"/>
        </w:rPr>
        <w:t xml:space="preserve">The following excerpt illustrates representative triples for a disease individual and a patient </w:t>
      </w:r>
      <w:r>
        <w:rPr>
          <w:color w:val="1A202C"/>
        </w:rPr>
        <w:t>individual:</w:t>
      </w:r>
    </w:p>
    <w:p w:rsidR="008446FD" w:rsidRDefault="008446FD">
      <w:pPr>
        <w:spacing w:after="80"/>
      </w:pPr>
    </w:p>
    <w:p w:rsidR="008446FD" w:rsidRDefault="003D75FE">
      <w:pPr>
        <w:shd w:val="clear" w:color="auto" w:fill="EDF2F7"/>
        <w:spacing w:before="60" w:after="60"/>
        <w:ind w:left="400"/>
      </w:pPr>
      <w:r>
        <w:rPr>
          <w:rFonts w:ascii="Courier New" w:eastAsia="Courier New" w:hAnsi="Courier New" w:cs="Courier New"/>
          <w:color w:val="2D3748"/>
          <w:sz w:val="18"/>
          <w:szCs w:val="18"/>
        </w:rPr>
        <w:t># Disease individual</w:t>
      </w:r>
    </w:p>
    <w:p w:rsidR="008446FD" w:rsidRDefault="003D75FE">
      <w:pPr>
        <w:shd w:val="clear" w:color="auto" w:fill="EDF2F7"/>
        <w:spacing w:before="60" w:after="60"/>
        <w:ind w:left="400"/>
      </w:pPr>
      <w:r>
        <w:rPr>
          <w:rFonts w:ascii="Courier New" w:eastAsia="Courier New" w:hAnsi="Courier New" w:cs="Courier New"/>
          <w:color w:val="2D3748"/>
          <w:sz w:val="18"/>
          <w:szCs w:val="18"/>
        </w:rPr>
        <w:t>hdo:Tuberculosis rdf:type owl:NamedIndividual , hdo:Disease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rdfs:label "Tuberculosis"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hdo:hasDOID "DOID:399"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hdo:hasCategory "Infectious"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hdo:hasDescription "</w:t>
      </w:r>
      <w:r>
        <w:rPr>
          <w:rFonts w:ascii="Courier New" w:eastAsia="Courier New" w:hAnsi="Courier New" w:cs="Courier New"/>
          <w:color w:val="2D3748"/>
          <w:sz w:val="18"/>
          <w:szCs w:val="18"/>
        </w:rPr>
        <w:t>A bacterial infectious disease caused by Mycobacterium tuberculosis"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hdo:hasSymptom hdo:Cough , hdo:Fever , hdo:NightSweats , hdo:WeightLoss , hdo:Fatigue , hdo:ChestPain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hdo:hasTreatment hdo:IsoniazidRifampin , hdo:Pyrazinamide , hdo:Ethambuto</w:t>
      </w:r>
      <w:r>
        <w:rPr>
          <w:rFonts w:ascii="Courier New" w:eastAsia="Courier New" w:hAnsi="Courier New" w:cs="Courier New"/>
          <w:color w:val="2D3748"/>
          <w:sz w:val="18"/>
          <w:szCs w:val="18"/>
        </w:rPr>
        <w:t>l .</w:t>
      </w:r>
    </w:p>
    <w:p w:rsidR="008446FD" w:rsidRDefault="008446FD">
      <w:pPr>
        <w:spacing w:after="80"/>
      </w:pPr>
    </w:p>
    <w:p w:rsidR="008446FD" w:rsidRDefault="003D75FE">
      <w:pPr>
        <w:shd w:val="clear" w:color="auto" w:fill="EDF2F7"/>
        <w:spacing w:before="60" w:after="60"/>
        <w:ind w:left="400"/>
      </w:pPr>
      <w:r>
        <w:rPr>
          <w:rFonts w:ascii="Courier New" w:eastAsia="Courier New" w:hAnsi="Courier New" w:cs="Courier New"/>
          <w:color w:val="2D3748"/>
          <w:sz w:val="18"/>
          <w:szCs w:val="18"/>
        </w:rPr>
        <w:t># Patient individual</w:t>
      </w:r>
    </w:p>
    <w:p w:rsidR="008446FD" w:rsidRDefault="003D75FE">
      <w:pPr>
        <w:shd w:val="clear" w:color="auto" w:fill="EDF2F7"/>
        <w:spacing w:before="60" w:after="60"/>
        <w:ind w:left="400"/>
      </w:pPr>
      <w:r>
        <w:rPr>
          <w:rFonts w:ascii="Courier New" w:eastAsia="Courier New" w:hAnsi="Courier New" w:cs="Courier New"/>
          <w:color w:val="2D3748"/>
          <w:sz w:val="18"/>
          <w:szCs w:val="18"/>
        </w:rPr>
        <w:t>hdo:Ali rdf:type owl:NamedIndividual , hdo:Patient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rdfs:label "Ali"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hdo:hasAge "35"^^xsd:integer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hdo:hasGender "Male"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hdo:hasRiskLevel "Medium"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hdo:hasFeverStatus "Yes"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hdo:hasSymptomDuration "1</w:t>
      </w:r>
      <w:r>
        <w:rPr>
          <w:rFonts w:ascii="Courier New" w:eastAsia="Courier New" w:hAnsi="Courier New" w:cs="Courier New"/>
          <w:color w:val="2D3748"/>
          <w:sz w:val="18"/>
          <w:szCs w:val="18"/>
        </w:rPr>
        <w:t>4"^^xsd:integer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hdo:reportsSymptom hdo:Fever , hdo:Cough , hdo:NightSweats , hdo:WeightLoss , hdo:Fatigue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hdo:requiresTest hdo:SputumTest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hdo:triggersAlert hdo:TBAlert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hdo:hasRecommendation hdo:TBScreeningRecommendation .</w:t>
      </w:r>
    </w:p>
    <w:p w:rsidR="008446FD" w:rsidRDefault="008446FD">
      <w:pPr>
        <w:spacing w:after="160"/>
      </w:pPr>
    </w:p>
    <w:p w:rsidR="008446FD" w:rsidRDefault="003D75FE">
      <w:pPr>
        <w:pStyle w:val="Balk2"/>
      </w:pPr>
      <w:r>
        <w:t>5.4 Knowl</w:t>
      </w:r>
      <w:r>
        <w:t>edge Graph Builder</w:t>
      </w:r>
    </w:p>
    <w:p w:rsidR="008446FD" w:rsidRDefault="003D75FE">
      <w:pPr>
        <w:spacing w:after="160" w:line="276" w:lineRule="auto"/>
        <w:jc w:val="both"/>
      </w:pPr>
      <w:r>
        <w:rPr>
          <w:color w:val="1A202C"/>
        </w:rPr>
        <w:t xml:space="preserve">The knowledge graph is constructed and queried programmatically using the kg_builder_v4.py Python script, which uses RDFLib version 7. The script performs the following operations: loads healthcare-v4.ttl using Graph.parse() with Turtle </w:t>
      </w:r>
      <w:r>
        <w:rPr>
          <w:color w:val="1A202C"/>
        </w:rPr>
        <w:t>format; binds the hdo: namespace prefix; executes all 20 SPARQL queries in sequence; prints results to the console with row counts; and serializes the final graph as healthcare-kg-v4.ttl. The script serves as the primary demonstration artefact for the cons</w:t>
      </w:r>
      <w:r>
        <w:rPr>
          <w:color w:val="1A202C"/>
        </w:rPr>
        <w:t>truction and querying capabilities of the knowledge graph.</w:t>
      </w:r>
    </w:p>
    <w:p w:rsidR="008446FD" w:rsidRDefault="008446FD">
      <w:pPr>
        <w:spacing w:after="80"/>
      </w:pPr>
    </w:p>
    <w:p w:rsidR="008446FD" w:rsidRDefault="003D75FE">
      <w:pPr>
        <w:shd w:val="clear" w:color="auto" w:fill="EDF2F7"/>
        <w:spacing w:before="60" w:after="60"/>
        <w:ind w:left="400"/>
      </w:pPr>
      <w:r>
        <w:rPr>
          <w:rFonts w:ascii="Courier New" w:eastAsia="Courier New" w:hAnsi="Courier New" w:cs="Courier New"/>
          <w:color w:val="2D3748"/>
          <w:sz w:val="18"/>
          <w:szCs w:val="18"/>
        </w:rPr>
        <w:t>from rdflib import Graph, Namespace</w:t>
      </w:r>
    </w:p>
    <w:p w:rsidR="008446FD" w:rsidRDefault="003D75FE">
      <w:pPr>
        <w:shd w:val="clear" w:color="auto" w:fill="EDF2F7"/>
        <w:spacing w:before="60" w:after="60"/>
        <w:ind w:left="400"/>
      </w:pPr>
      <w:r>
        <w:rPr>
          <w:rFonts w:ascii="Courier New" w:eastAsia="Courier New" w:hAnsi="Courier New" w:cs="Courier New"/>
          <w:color w:val="2D3748"/>
          <w:sz w:val="18"/>
          <w:szCs w:val="18"/>
        </w:rPr>
        <w:t>BASE = "http://www.semanticweb.org/beyza/ontologies/2026/healthcare#"</w:t>
      </w:r>
    </w:p>
    <w:p w:rsidR="008446FD" w:rsidRDefault="003D75FE">
      <w:pPr>
        <w:shd w:val="clear" w:color="auto" w:fill="EDF2F7"/>
        <w:spacing w:before="60" w:after="60"/>
        <w:ind w:left="400"/>
      </w:pPr>
      <w:r>
        <w:rPr>
          <w:rFonts w:ascii="Courier New" w:eastAsia="Courier New" w:hAnsi="Courier New" w:cs="Courier New"/>
          <w:color w:val="2D3748"/>
          <w:sz w:val="18"/>
          <w:szCs w:val="18"/>
        </w:rPr>
        <w:t>g = Graph()</w:t>
      </w:r>
    </w:p>
    <w:p w:rsidR="008446FD" w:rsidRDefault="003D75FE">
      <w:pPr>
        <w:shd w:val="clear" w:color="auto" w:fill="EDF2F7"/>
        <w:spacing w:before="60" w:after="60"/>
        <w:ind w:left="400"/>
      </w:pPr>
      <w:r>
        <w:rPr>
          <w:rFonts w:ascii="Courier New" w:eastAsia="Courier New" w:hAnsi="Courier New" w:cs="Courier New"/>
          <w:color w:val="2D3748"/>
          <w:sz w:val="18"/>
          <w:szCs w:val="18"/>
        </w:rPr>
        <w:t>g.parse("healthcare-v4.ttl", format="turtle")</w:t>
      </w:r>
    </w:p>
    <w:p w:rsidR="008446FD" w:rsidRDefault="003D75FE">
      <w:pPr>
        <w:shd w:val="clear" w:color="auto" w:fill="EDF2F7"/>
        <w:spacing w:before="60" w:after="60"/>
        <w:ind w:left="400"/>
      </w:pPr>
      <w:r>
        <w:rPr>
          <w:rFonts w:ascii="Courier New" w:eastAsia="Courier New" w:hAnsi="Courier New" w:cs="Courier New"/>
          <w:color w:val="2D3748"/>
          <w:sz w:val="18"/>
          <w:szCs w:val="18"/>
        </w:rPr>
        <w:t>g.bind("hdo", Namespace(BASE))</w:t>
      </w:r>
    </w:p>
    <w:p w:rsidR="008446FD" w:rsidRDefault="003D75FE">
      <w:pPr>
        <w:shd w:val="clear" w:color="auto" w:fill="EDF2F7"/>
        <w:spacing w:before="60" w:after="60"/>
        <w:ind w:left="400"/>
      </w:pPr>
      <w:r>
        <w:rPr>
          <w:rFonts w:ascii="Courier New" w:eastAsia="Courier New" w:hAnsi="Courier New" w:cs="Courier New"/>
          <w:color w:val="2D3748"/>
          <w:sz w:val="18"/>
          <w:szCs w:val="18"/>
        </w:rPr>
        <w:t>rows = list(g.query(sparql_query))</w:t>
      </w:r>
    </w:p>
    <w:p w:rsidR="008446FD" w:rsidRDefault="003D75FE">
      <w:pPr>
        <w:shd w:val="clear" w:color="auto" w:fill="EDF2F7"/>
        <w:spacing w:before="60" w:after="60"/>
        <w:ind w:left="400"/>
      </w:pPr>
      <w:r>
        <w:rPr>
          <w:rFonts w:ascii="Courier New" w:eastAsia="Courier New" w:hAnsi="Courier New" w:cs="Courier New"/>
          <w:color w:val="2D3748"/>
          <w:sz w:val="18"/>
          <w:szCs w:val="18"/>
        </w:rPr>
        <w:t>g.serialize("healthcare-kg-v4.ttl", format="turtle")</w:t>
      </w:r>
    </w:p>
    <w:p w:rsidR="008446FD" w:rsidRDefault="003D75FE">
      <w:r>
        <w:br w:type="page"/>
      </w:r>
    </w:p>
    <w:p w:rsidR="008446FD" w:rsidRDefault="003D75FE">
      <w:pPr>
        <w:pStyle w:val="Balk1"/>
      </w:pPr>
      <w:r>
        <w:t>6. SPARQL Queries</w:t>
      </w:r>
    </w:p>
    <w:p w:rsidR="008446FD" w:rsidRDefault="003D75FE">
      <w:pPr>
        <w:spacing w:after="160" w:line="276" w:lineRule="auto"/>
        <w:jc w:val="both"/>
      </w:pPr>
      <w:r>
        <w:rPr>
          <w:color w:val="1A202C"/>
        </w:rPr>
        <w:t>Twenty SPARQL 1.1 SELECT queries were developed and validated against the v4 knowledge graph. All 20 queries returned expected results with zero fai</w:t>
      </w:r>
      <w:r>
        <w:rPr>
          <w:color w:val="1A202C"/>
        </w:rPr>
        <w:t>lures. Queries are organized into three functional categories: basic retrieval (Q1–Q8), reasoning queries (Q9–Q11), and aggregation and advanced filtering (Q12–Q20). The complete query file is provided as sparql-v4.rq.</w:t>
      </w:r>
    </w:p>
    <w:p w:rsidR="008446FD" w:rsidRDefault="003D75FE">
      <w:pPr>
        <w:pStyle w:val="Balk2"/>
      </w:pPr>
      <w:r>
        <w:t>6.1 Basic Retrieval Queries</w:t>
      </w:r>
    </w:p>
    <w:tbl>
      <w:tblPr>
        <w:tblW w:w="828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4500"/>
        <w:gridCol w:w="1440"/>
        <w:gridCol w:w="1440"/>
      </w:tblGrid>
      <w:tr w:rsidR="008446FD">
        <w:trPr>
          <w:tblHeader/>
        </w:trPr>
        <w:tc>
          <w:tcPr>
            <w:tcW w:w="9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ID</w:t>
            </w:r>
          </w:p>
        </w:tc>
        <w:tc>
          <w:tcPr>
            <w:tcW w:w="45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Descri</w:t>
            </w:r>
            <w:r>
              <w:rPr>
                <w:b/>
                <w:bCs/>
                <w:color w:val="FFFFFF"/>
                <w:sz w:val="19"/>
                <w:szCs w:val="19"/>
              </w:rPr>
              <w:t>ption</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Result (Rows)</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CQ Answered</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Q1</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Retrieve all disease–symptom pairs with labels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300</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CQ3</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Q2</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Retrieve all patient–symptom pairs (reported symptoms)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104</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CQ3</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Q3</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Retrieve required diagnostic test for each patient</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20</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CQ4</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Q4</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Retrieve clinical alerts with patient and message</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18</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CQ5</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Q5</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Retrieve full clinical profile per patient (age, gender, risk, fever, duration)</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20</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CQ5</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Q6</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Retrieve all disease–treatment pairs with labels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150</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CQ6</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Q7</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Retrieve disease DOID identifier and clinical category</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50</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CQ8</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Q8</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Retrieve diagnostic recommendations per patient</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20</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CQ4</w:t>
            </w:r>
          </w:p>
        </w:tc>
      </w:tr>
    </w:tbl>
    <w:p w:rsidR="008446FD" w:rsidRDefault="008446FD">
      <w:pPr>
        <w:spacing w:after="160"/>
      </w:pPr>
    </w:p>
    <w:p w:rsidR="008446FD" w:rsidRDefault="003D75FE">
      <w:pPr>
        <w:pStyle w:val="Balk2"/>
      </w:pPr>
      <w:r>
        <w:t>6.2 Reasoning Queries</w:t>
      </w:r>
    </w:p>
    <w:tbl>
      <w:tblPr>
        <w:tblW w:w="828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4500"/>
        <w:gridCol w:w="1440"/>
        <w:gridCol w:w="1440"/>
      </w:tblGrid>
      <w:tr w:rsidR="008446FD">
        <w:trPr>
          <w:tblHeader/>
        </w:trPr>
        <w:tc>
          <w:tcPr>
            <w:tcW w:w="9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ID</w:t>
            </w:r>
          </w:p>
        </w:tc>
        <w:tc>
          <w:tcPr>
            <w:tcW w:w="45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Description</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Result (Rows)</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CQ Answered</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Q9</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Identify patients who report at least one symptom shared with Tuberculosis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29</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CQ2</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Q10</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Identify patients meeting SWRL rule conditions: duration &gt; 13 days AND fever = Yes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CQ9</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Q11</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Identify high-risk patients aged over 50 with their assigned diagnostic test</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CQ10</w:t>
            </w:r>
          </w:p>
        </w:tc>
      </w:tr>
    </w:tbl>
    <w:p w:rsidR="008446FD" w:rsidRDefault="008446FD">
      <w:pPr>
        <w:spacing w:after="160"/>
      </w:pPr>
    </w:p>
    <w:p w:rsidR="008446FD" w:rsidRDefault="003D75FE">
      <w:pPr>
        <w:pStyle w:val="Balk2"/>
      </w:pPr>
      <w:r>
        <w:t>6.3 Aggregation and Advanced Filter Queries</w:t>
      </w:r>
    </w:p>
    <w:tbl>
      <w:tblPr>
        <w:tblW w:w="828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4500"/>
        <w:gridCol w:w="1440"/>
        <w:gridCol w:w="1440"/>
      </w:tblGrid>
      <w:tr w:rsidR="008446FD">
        <w:trPr>
          <w:tblHeader/>
        </w:trPr>
        <w:tc>
          <w:tcPr>
            <w:tcW w:w="9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ID</w:t>
            </w:r>
          </w:p>
        </w:tc>
        <w:tc>
          <w:tcPr>
            <w:tcW w:w="45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Description</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Result (Rows)</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CQ Answered</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Q12</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Count symptoms per disease (COUNT + GROUP BY + ORDER BY)</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50</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CQ7</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Q13</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Count diseases per clinical category (COUNT + GROUP BY)</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10</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CQ8</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Q14</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Count patients per risk level (COUNT + GROUP BY)</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CQ5</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Q15</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Compute average symptom duration per risk level (AVG + GROUP BY)</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CQ9</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Q16</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Retrieve all diseases sharing the Fatigue symptom</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37</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CQ3</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Q17</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Infectious diseases with more than five symptoms (COUNT + HAVING)</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15</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CQ7</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Q18</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Female patients with High risk level (multi-FILTER)</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4</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CQ5</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Q19</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Patients symptomatic for more than 30 days (FILTER + ORDER BY)</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7</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CQ9</w:t>
            </w:r>
          </w:p>
        </w:tc>
      </w:tr>
      <w:tr w:rsidR="008446FD">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Q20</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Cardiovascular diseases with treatments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15</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CQ6</w:t>
            </w:r>
          </w:p>
        </w:tc>
      </w:tr>
    </w:tbl>
    <w:p w:rsidR="008446FD" w:rsidRDefault="008446FD">
      <w:pPr>
        <w:spacing w:after="160"/>
      </w:pPr>
    </w:p>
    <w:p w:rsidR="008446FD" w:rsidRDefault="003D75FE">
      <w:pPr>
        <w:pStyle w:val="Balk2"/>
      </w:pPr>
      <w:r>
        <w:t>6.4 Example Query: Q10 (SWRL Rule Simulation)</w:t>
      </w:r>
    </w:p>
    <w:p w:rsidR="008446FD" w:rsidRDefault="003D75FE">
      <w:pPr>
        <w:spacing w:after="160" w:line="276" w:lineRule="auto"/>
        <w:jc w:val="both"/>
      </w:pPr>
      <w:r>
        <w:rPr>
          <w:color w:val="1A202C"/>
        </w:rPr>
        <w:t>Query Q10 simulates the SWRL rule conditions in SPARQL, identifying patients who would have SputumTest inferred by the SWRL rule:</w:t>
      </w:r>
    </w:p>
    <w:p w:rsidR="008446FD" w:rsidRDefault="008446FD">
      <w:pPr>
        <w:spacing w:after="80"/>
      </w:pPr>
    </w:p>
    <w:p w:rsidR="008446FD" w:rsidRDefault="003D75FE">
      <w:pPr>
        <w:shd w:val="clear" w:color="auto" w:fill="EDF2F7"/>
        <w:spacing w:before="60" w:after="60"/>
        <w:ind w:left="400"/>
      </w:pPr>
      <w:r>
        <w:rPr>
          <w:rFonts w:ascii="Courier New" w:eastAsia="Courier New" w:hAnsi="Courier New" w:cs="Courier New"/>
          <w:color w:val="2D3748"/>
          <w:sz w:val="18"/>
          <w:szCs w:val="18"/>
        </w:rPr>
        <w:t>PREFIX hdo: &lt;</w:t>
      </w:r>
      <w:r>
        <w:rPr>
          <w:rFonts w:ascii="Courier New" w:eastAsia="Courier New" w:hAnsi="Courier New" w:cs="Courier New"/>
          <w:color w:val="2D3748"/>
          <w:sz w:val="18"/>
          <w:szCs w:val="18"/>
        </w:rPr>
        <w:t>http://www.semanticweb.org/beyza/ontologies/2026/healthcare#&gt;</w:t>
      </w:r>
    </w:p>
    <w:p w:rsidR="008446FD" w:rsidRDefault="003D75FE">
      <w:pPr>
        <w:shd w:val="clear" w:color="auto" w:fill="EDF2F7"/>
        <w:spacing w:before="60" w:after="60"/>
        <w:ind w:left="400"/>
      </w:pPr>
      <w:r>
        <w:rPr>
          <w:rFonts w:ascii="Courier New" w:eastAsia="Courier New" w:hAnsi="Courier New" w:cs="Courier New"/>
          <w:color w:val="2D3748"/>
          <w:sz w:val="18"/>
          <w:szCs w:val="18"/>
        </w:rPr>
        <w:t>PREFIX rdf: &lt;http://www.w3.org/1999/02/22-rdf-syntax-ns#&gt;</w:t>
      </w:r>
    </w:p>
    <w:p w:rsidR="008446FD" w:rsidRDefault="003D75FE">
      <w:pPr>
        <w:shd w:val="clear" w:color="auto" w:fill="EDF2F7"/>
        <w:spacing w:before="60" w:after="60"/>
        <w:ind w:left="400"/>
      </w:pPr>
      <w:r>
        <w:rPr>
          <w:rFonts w:ascii="Courier New" w:eastAsia="Courier New" w:hAnsi="Courier New" w:cs="Courier New"/>
          <w:color w:val="2D3748"/>
          <w:sz w:val="18"/>
          <w:szCs w:val="18"/>
        </w:rPr>
        <w:t>PREFIX rdfs: &lt;http://www.w3.org/2000/01/rdf-schema#&gt;</w:t>
      </w:r>
    </w:p>
    <w:p w:rsidR="008446FD" w:rsidRDefault="003D75FE">
      <w:pPr>
        <w:shd w:val="clear" w:color="auto" w:fill="EDF2F7"/>
        <w:spacing w:before="60" w:after="60"/>
        <w:ind w:left="400"/>
      </w:pPr>
      <w:r>
        <w:rPr>
          <w:rFonts w:ascii="Courier New" w:eastAsia="Courier New" w:hAnsi="Courier New" w:cs="Courier New"/>
          <w:color w:val="2D3748"/>
          <w:sz w:val="18"/>
          <w:szCs w:val="18"/>
        </w:rPr>
        <w:t>PREFIX xsd: &lt;http://www.w3.org/2001/XMLSchema#&gt;</w:t>
      </w:r>
    </w:p>
    <w:p w:rsidR="008446FD" w:rsidRDefault="008446FD">
      <w:pPr>
        <w:shd w:val="clear" w:color="auto" w:fill="EDF2F7"/>
        <w:spacing w:before="60" w:after="60"/>
        <w:ind w:left="400"/>
      </w:pPr>
    </w:p>
    <w:p w:rsidR="008446FD" w:rsidRDefault="003D75FE">
      <w:pPr>
        <w:shd w:val="clear" w:color="auto" w:fill="EDF2F7"/>
        <w:spacing w:before="60" w:after="60"/>
        <w:ind w:left="400"/>
      </w:pPr>
      <w:r>
        <w:rPr>
          <w:rFonts w:ascii="Courier New" w:eastAsia="Courier New" w:hAnsi="Courier New" w:cs="Courier New"/>
          <w:color w:val="2D3748"/>
          <w:sz w:val="18"/>
          <w:szCs w:val="18"/>
        </w:rPr>
        <w:t>SELECT ?patientLabel ?duration ?fe</w:t>
      </w:r>
      <w:r>
        <w:rPr>
          <w:rFonts w:ascii="Courier New" w:eastAsia="Courier New" w:hAnsi="Courier New" w:cs="Courier New"/>
          <w:color w:val="2D3748"/>
          <w:sz w:val="18"/>
          <w:szCs w:val="18"/>
        </w:rPr>
        <w:t>verStatus ?riskLevel ?age</w:t>
      </w:r>
    </w:p>
    <w:p w:rsidR="008446FD" w:rsidRDefault="003D75FE">
      <w:pPr>
        <w:shd w:val="clear" w:color="auto" w:fill="EDF2F7"/>
        <w:spacing w:before="60" w:after="60"/>
        <w:ind w:left="400"/>
      </w:pPr>
      <w:r>
        <w:rPr>
          <w:rFonts w:ascii="Courier New" w:eastAsia="Courier New" w:hAnsi="Courier New" w:cs="Courier New"/>
          <w:color w:val="2D3748"/>
          <w:sz w:val="18"/>
          <w:szCs w:val="18"/>
        </w:rPr>
        <w:t>WHERE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?patient rdf:type hdo:Patient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?patient rdfs:label ?patientLabel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?patient hdo:hasSymptomDuration ?duration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?patient hdo:hasFeverStatus ?feverStatus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?patient hdo:hasRiskLevel ?riskLevel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?patient hdo:hasAge ?age .</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FILTER (?duration &gt; 13 &amp;&amp; ?feverStatus = "Yes")</w:t>
      </w:r>
    </w:p>
    <w:p w:rsidR="008446FD" w:rsidRDefault="003D75FE">
      <w:pPr>
        <w:shd w:val="clear" w:color="auto" w:fill="EDF2F7"/>
        <w:spacing w:before="60" w:after="60"/>
        <w:ind w:left="400"/>
      </w:pPr>
      <w:r>
        <w:rPr>
          <w:rFonts w:ascii="Courier New" w:eastAsia="Courier New" w:hAnsi="Courier New" w:cs="Courier New"/>
          <w:color w:val="2D3748"/>
          <w:sz w:val="18"/>
          <w:szCs w:val="18"/>
        </w:rPr>
        <w:t>}</w:t>
      </w:r>
    </w:p>
    <w:p w:rsidR="008446FD" w:rsidRDefault="003D75FE">
      <w:pPr>
        <w:shd w:val="clear" w:color="auto" w:fill="EDF2F7"/>
        <w:spacing w:before="60" w:after="60"/>
        <w:ind w:left="400"/>
      </w:pPr>
      <w:r>
        <w:rPr>
          <w:rFonts w:ascii="Courier New" w:eastAsia="Courier New" w:hAnsi="Courier New" w:cs="Courier New"/>
          <w:color w:val="2D3748"/>
          <w:sz w:val="18"/>
          <w:szCs w:val="18"/>
        </w:rPr>
        <w:t>ORDER BY DESC(?duration)</w:t>
      </w:r>
    </w:p>
    <w:p w:rsidR="008446FD" w:rsidRDefault="008446FD">
      <w:pPr>
        <w:spacing w:after="80"/>
      </w:pPr>
    </w:p>
    <w:p w:rsidR="008446FD" w:rsidRDefault="003D75FE">
      <w:pPr>
        <w:spacing w:after="160" w:line="276" w:lineRule="auto"/>
        <w:jc w:val="both"/>
      </w:pPr>
      <w:r>
        <w:rPr>
          <w:color w:val="1A202C"/>
        </w:rPr>
        <w:t>Result: This query returns 3 rows — Ali (14 days, Yes, Medium, age 35), Selin (45 days, Yes, Medium, age 38). These two patients are also the individ</w:t>
      </w:r>
      <w:r>
        <w:rPr>
          <w:color w:val="1A202C"/>
        </w:rPr>
        <w:t>uals to which the SWRL rule assigns SputumTest in Protégé.</w:t>
      </w:r>
    </w:p>
    <w:p w:rsidR="008446FD" w:rsidRDefault="003D75FE">
      <w:r>
        <w:br w:type="page"/>
      </w:r>
    </w:p>
    <w:p w:rsidR="008446FD" w:rsidRDefault="003D75FE">
      <w:pPr>
        <w:pStyle w:val="Balk1"/>
      </w:pPr>
      <w:r>
        <w:t>7. Validation (SHACL)</w:t>
      </w:r>
    </w:p>
    <w:p w:rsidR="008446FD" w:rsidRDefault="003D75FE">
      <w:pPr>
        <w:pStyle w:val="Balk2"/>
      </w:pPr>
      <w:r>
        <w:t>7.1 Overview</w:t>
      </w:r>
    </w:p>
    <w:p w:rsidR="008446FD" w:rsidRDefault="003D75FE">
      <w:pPr>
        <w:spacing w:after="160" w:line="276" w:lineRule="auto"/>
        <w:jc w:val="both"/>
      </w:pPr>
      <w:r>
        <w:rPr>
          <w:color w:val="1A202C"/>
        </w:rPr>
        <w:t>Data quality for the knowledge graph is enforced through seven SHACL (Shapes Constraint Language) node shapes, defined in shacl-v4.ttl. SHACL validation was per</w:t>
      </w:r>
      <w:r>
        <w:rPr>
          <w:color w:val="1A202C"/>
        </w:rPr>
        <w:t>formed using the pyshacl library (version 0.26.x) with RDFS inference enabled. The validation result across all 1,925 triples is Conforms: True with zero constraint violations.</w:t>
      </w:r>
    </w:p>
    <w:p w:rsidR="008446FD" w:rsidRDefault="003D75FE">
      <w:pPr>
        <w:pStyle w:val="Balk2"/>
      </w:pPr>
      <w:r>
        <w:t>7.2 Shape Definitions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06"/>
        <w:gridCol w:w="3027"/>
        <w:gridCol w:w="3127"/>
      </w:tblGrid>
      <w:tr w:rsidR="008446FD">
        <w:trPr>
          <w:tblHeader/>
        </w:trPr>
        <w:tc>
          <w:tcPr>
            <w:tcW w:w="252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Shape</w:t>
            </w:r>
          </w:p>
        </w:tc>
        <w:tc>
          <w:tcPr>
            <w:tcW w:w="23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Target Class</w:t>
            </w:r>
          </w:p>
        </w:tc>
        <w:tc>
          <w:tcPr>
            <w:tcW w:w="45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Constraints Applied</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PatientShape</w:t>
            </w:r>
          </w:p>
        </w:tc>
        <w:tc>
          <w:tcPr>
            <w:tcW w:w="23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hdo:Patient</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minCount 1 for reportsSymptom (class hdo:Symptom); hasRiskLevel: minCount 1, maxCount 1, datatype xsd:string, sh:in (Low Medium High); hasFeverStatus: minCount 1, maxCount 1, sh:in (Yes No); hasSymptomDuration: minCount 1, maxCount 1, xsd:integ</w:t>
            </w:r>
            <w:r>
              <w:rPr>
                <w:color w:val="1A202C"/>
                <w:sz w:val="19"/>
                <w:szCs w:val="19"/>
              </w:rPr>
              <w:t>er, minInclusive 1; hasAge: minCount 1, maxCount 1, xsd:integer, range 0–130; hasGender: minCount 1, maxCount 1, sh:in (Male Female Other); requiresTest: minCount 1, class DiagnosticTest; hasRecommendation: minCount 1, class DiagnosticRecommendation</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DiseaseShape</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hdo:Disease</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hasSymptom: minCount 2, maxCount 10, class hdo:Symptom; hasTreatment: minCount 1, class hdo:Treatment; hasDOID: minCount 1, maxCount 1, xsd:string; hasDescription: minCount 1, maxCount 1, xsd:string; hasCategory: minCount 1, maxCou</w:t>
            </w:r>
            <w:r>
              <w:rPr>
                <w:color w:val="1A202C"/>
                <w:sz w:val="19"/>
                <w:szCs w:val="19"/>
              </w:rPr>
              <w:t>nt 1, sh:in (10 valid categories)</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ClinicalAlertShape</w:t>
            </w:r>
          </w:p>
        </w:tc>
        <w:tc>
          <w:tcPr>
            <w:tcW w:w="23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hdo:ClinicalAlert</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hasAlertMessage: minCount 1, maxCount 1, xsd:string, minLength 10; rdfs:label: minCount 1</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DiagnosticTestShape</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hdo:DiagnosticTest</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rdfs:label: minCount 1, datatype xsd:string</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DiagnosticRecommendationShape</w:t>
            </w:r>
          </w:p>
        </w:tc>
        <w:tc>
          <w:tcPr>
            <w:tcW w:w="23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hdo:DiagnosticRecommendation</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rdfs:label: minCount 1</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SymptomShape</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hdo:Symptom</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rdfs:label: minCount 1</w:t>
            </w:r>
          </w:p>
        </w:tc>
      </w:tr>
      <w:tr w:rsidR="008446FD">
        <w:tc>
          <w:tcPr>
            <w:tcW w:w="25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TreatmentShape</w:t>
            </w:r>
          </w:p>
        </w:tc>
        <w:tc>
          <w:tcPr>
            <w:tcW w:w="23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hdo:Treatment</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rdfs:label: minCount 1</w:t>
            </w:r>
          </w:p>
        </w:tc>
      </w:tr>
    </w:tbl>
    <w:p w:rsidR="008446FD" w:rsidRDefault="008446FD">
      <w:pPr>
        <w:spacing w:after="160"/>
      </w:pPr>
    </w:p>
    <w:p w:rsidR="008446FD" w:rsidRDefault="003D75FE">
      <w:pPr>
        <w:pStyle w:val="Balk2"/>
      </w:pPr>
      <w:r>
        <w:t>7.3 Validation Execution</w:t>
      </w:r>
    </w:p>
    <w:p w:rsidR="008446FD" w:rsidRDefault="003D75FE">
      <w:pPr>
        <w:shd w:val="clear" w:color="auto" w:fill="EDF2F7"/>
        <w:spacing w:before="60" w:after="60"/>
        <w:ind w:left="400"/>
      </w:pPr>
      <w:r>
        <w:rPr>
          <w:rFonts w:ascii="Courier New" w:eastAsia="Courier New" w:hAnsi="Courier New" w:cs="Courier New"/>
          <w:color w:val="2D3748"/>
          <w:sz w:val="18"/>
          <w:szCs w:val="18"/>
        </w:rPr>
        <w:t>import pyshacl</w:t>
      </w:r>
    </w:p>
    <w:p w:rsidR="008446FD" w:rsidRDefault="003D75FE">
      <w:pPr>
        <w:shd w:val="clear" w:color="auto" w:fill="EDF2F7"/>
        <w:spacing w:before="60" w:after="60"/>
        <w:ind w:left="400"/>
      </w:pPr>
      <w:r>
        <w:rPr>
          <w:rFonts w:ascii="Courier New" w:eastAsia="Courier New" w:hAnsi="Courier New" w:cs="Courier New"/>
          <w:color w:val="2D3748"/>
          <w:sz w:val="18"/>
          <w:szCs w:val="18"/>
        </w:rPr>
        <w:t>from rdflib import Graph</w:t>
      </w:r>
    </w:p>
    <w:p w:rsidR="008446FD" w:rsidRDefault="008446FD">
      <w:pPr>
        <w:shd w:val="clear" w:color="auto" w:fill="EDF2F7"/>
        <w:spacing w:before="60" w:after="60"/>
        <w:ind w:left="400"/>
      </w:pPr>
    </w:p>
    <w:p w:rsidR="008446FD" w:rsidRDefault="003D75FE">
      <w:pPr>
        <w:shd w:val="clear" w:color="auto" w:fill="EDF2F7"/>
        <w:spacing w:before="60" w:after="60"/>
        <w:ind w:left="400"/>
      </w:pPr>
      <w:r>
        <w:rPr>
          <w:rFonts w:ascii="Courier New" w:eastAsia="Courier New" w:hAnsi="Courier New" w:cs="Courier New"/>
          <w:color w:val="2D3748"/>
          <w:sz w:val="18"/>
          <w:szCs w:val="18"/>
        </w:rPr>
        <w:t>data_g = Graph().parse("healthcare-v4.ttl", format="turtle")</w:t>
      </w:r>
    </w:p>
    <w:p w:rsidR="008446FD" w:rsidRDefault="003D75FE">
      <w:pPr>
        <w:shd w:val="clear" w:color="auto" w:fill="EDF2F7"/>
        <w:spacing w:before="60" w:after="60"/>
        <w:ind w:left="400"/>
      </w:pPr>
      <w:r>
        <w:rPr>
          <w:rFonts w:ascii="Courier New" w:eastAsia="Courier New" w:hAnsi="Courier New" w:cs="Courier New"/>
          <w:color w:val="2D3748"/>
          <w:sz w:val="18"/>
          <w:szCs w:val="18"/>
        </w:rPr>
        <w:t>shacl_g = Graph().parse("shacl-v4.ttl", format="turtle")</w:t>
      </w:r>
    </w:p>
    <w:p w:rsidR="008446FD" w:rsidRDefault="003D75FE">
      <w:pPr>
        <w:shd w:val="clear" w:color="auto" w:fill="EDF2F7"/>
        <w:spacing w:before="60" w:after="60"/>
        <w:ind w:left="400"/>
      </w:pPr>
      <w:r>
        <w:rPr>
          <w:rFonts w:ascii="Courier New" w:eastAsia="Courier New" w:hAnsi="Courier New" w:cs="Courier New"/>
          <w:color w:val="2D3748"/>
          <w:sz w:val="18"/>
          <w:szCs w:val="18"/>
        </w:rPr>
        <w:t>conforms, results_graph, results_text = pyshacl.validate(</w:t>
      </w:r>
    </w:p>
    <w:p w:rsidR="008446FD" w:rsidRDefault="003D75FE">
      <w:pPr>
        <w:shd w:val="clear" w:color="auto" w:fill="EDF2F7"/>
        <w:spacing w:before="60" w:after="60"/>
        <w:ind w:left="400"/>
      </w:pPr>
      <w:r>
        <w:rPr>
          <w:rFonts w:ascii="Courier New" w:eastAsia="Courier New" w:hAnsi="Courier New" w:cs="Courier New"/>
          <w:color w:val="2D3748"/>
          <w:sz w:val="18"/>
          <w:szCs w:val="18"/>
        </w:rPr>
        <w:t xml:space="preserve">    data_g, shacl_graph=shacl_g, inference="rdfs", abort_on_first=False</w:t>
      </w:r>
    </w:p>
    <w:p w:rsidR="008446FD" w:rsidRDefault="003D75FE">
      <w:pPr>
        <w:shd w:val="clear" w:color="auto" w:fill="EDF2F7"/>
        <w:spacing w:before="60" w:after="60"/>
        <w:ind w:left="400"/>
      </w:pPr>
      <w:r>
        <w:rPr>
          <w:rFonts w:ascii="Courier New" w:eastAsia="Courier New" w:hAnsi="Courier New" w:cs="Courier New"/>
          <w:color w:val="2D3748"/>
          <w:sz w:val="18"/>
          <w:szCs w:val="18"/>
        </w:rPr>
        <w:t>)</w:t>
      </w:r>
    </w:p>
    <w:p w:rsidR="008446FD" w:rsidRDefault="003D75FE">
      <w:pPr>
        <w:shd w:val="clear" w:color="auto" w:fill="EDF2F7"/>
        <w:spacing w:before="60" w:after="60"/>
        <w:ind w:left="400"/>
      </w:pPr>
      <w:r>
        <w:rPr>
          <w:rFonts w:ascii="Courier New" w:eastAsia="Courier New" w:hAnsi="Courier New" w:cs="Courier New"/>
          <w:color w:val="2D3748"/>
          <w:sz w:val="18"/>
          <w:szCs w:val="18"/>
        </w:rPr>
        <w:t>print(</w:t>
      </w:r>
      <w:r>
        <w:rPr>
          <w:rFonts w:ascii="Courier New" w:eastAsia="Courier New" w:hAnsi="Courier New" w:cs="Courier New"/>
          <w:color w:val="2D3748"/>
          <w:sz w:val="18"/>
          <w:szCs w:val="18"/>
        </w:rPr>
        <w:t>"Conforms:", conforms)  # Output: Conforms: True</w:t>
      </w:r>
    </w:p>
    <w:p w:rsidR="008446FD" w:rsidRDefault="008446FD">
      <w:pPr>
        <w:spacing w:after="160"/>
      </w:pPr>
    </w:p>
    <w:p w:rsidR="008446FD" w:rsidRDefault="003D75FE">
      <w:pPr>
        <w:spacing w:after="160" w:line="276" w:lineRule="auto"/>
        <w:jc w:val="both"/>
      </w:pPr>
      <w:r>
        <w:rPr>
          <w:color w:val="1A202C"/>
        </w:rPr>
        <w:t>PatientShape with eight property constraints is the most comprehensive shape in the set. The hasCategory constraint on DiseaseShape uses sh:in to restrict values to exactly 10 valid clinical categories, ensuring that all 50 disease individuals carry consis</w:t>
      </w:r>
      <w:r>
        <w:rPr>
          <w:color w:val="1A202C"/>
        </w:rPr>
        <w:t>tent and queryable category assignments. The ClinicalAlertShape's minLength constraint on hasAlertMessage ensures that alert messages are substantive rather than empty or trivial strings.</w:t>
      </w:r>
    </w:p>
    <w:p w:rsidR="008446FD" w:rsidRDefault="003D75FE">
      <w:r>
        <w:br w:type="page"/>
      </w:r>
    </w:p>
    <w:p w:rsidR="008446FD" w:rsidRDefault="003D75FE">
      <w:pPr>
        <w:pStyle w:val="Balk1"/>
      </w:pPr>
      <w:r>
        <w:t>8. LLM Integration</w:t>
      </w:r>
    </w:p>
    <w:p w:rsidR="008446FD" w:rsidRDefault="003D75FE">
      <w:pPr>
        <w:pStyle w:val="Balk2"/>
      </w:pPr>
      <w:r>
        <w:t>8.1 Architecture</w:t>
      </w:r>
    </w:p>
    <w:p w:rsidR="008446FD" w:rsidRDefault="003D75FE">
      <w:pPr>
        <w:spacing w:after="160" w:line="276" w:lineRule="auto"/>
        <w:jc w:val="both"/>
      </w:pPr>
      <w:r>
        <w:rPr>
          <w:color w:val="1A202C"/>
        </w:rPr>
        <w:t>The LLM integration layer provides a natural language interface to the healthcare knowledge graph. The system implements a three-stage pipeline: the user submits a clinical question in natural language; the question is forwarded to the Claude API (claude-s</w:t>
      </w:r>
      <w:r>
        <w:rPr>
          <w:color w:val="1A202C"/>
        </w:rPr>
        <w:t>onnet-4-6 model) with a schema-constrained system prompt; the model generates a SPARQL query; and the query is executed against the knowledge graph using RDFLib, returning a structured result. The complete pipeline is implemented in llm_integration.py.</w:t>
      </w:r>
    </w:p>
    <w:p w:rsidR="008446FD" w:rsidRDefault="003D75FE">
      <w:pPr>
        <w:pStyle w:val="Balk2"/>
      </w:pPr>
      <w:r>
        <w:t>8.2</w:t>
      </w:r>
      <w:r>
        <w:t xml:space="preserve"> System Prompt Design</w:t>
      </w:r>
    </w:p>
    <w:p w:rsidR="008446FD" w:rsidRDefault="003D75FE">
      <w:pPr>
        <w:spacing w:after="160" w:line="276" w:lineRule="auto"/>
        <w:jc w:val="both"/>
      </w:pPr>
      <w:r>
        <w:rPr>
          <w:color w:val="1A202C"/>
        </w:rPr>
        <w:t>The system prompt is the primary mechanism for grounding the LLM's output in the actual ontology schema. It provides the following information: the ontology namespace and prefix alias; all 11 class names; all 9 object property names w</w:t>
      </w:r>
      <w:r>
        <w:rPr>
          <w:color w:val="1A202C"/>
        </w:rPr>
        <w:t>ith domain and range; all 9 data property names with domain, range, and valid values; the complete list of 20 patient individual names; the complete list of 50 disease individual names; all 10 valid category values; and strict output formatting requirement</w:t>
      </w:r>
      <w:r>
        <w:rPr>
          <w:color w:val="1A202C"/>
        </w:rPr>
        <w:t>s specifying that the response must contain only the SPARQL query with no markdown fences, no preamble, and no explanatory text.</w:t>
      </w:r>
    </w:p>
    <w:p w:rsidR="008446FD" w:rsidRDefault="003D75FE">
      <w:pPr>
        <w:pStyle w:val="Balk2"/>
      </w:pPr>
      <w:r>
        <w:t>8.3 Hallucination Mitigation</w:t>
      </w:r>
    </w:p>
    <w:p w:rsidR="008446FD" w:rsidRDefault="003D75FE">
      <w:pPr>
        <w:spacing w:after="160" w:line="276" w:lineRule="auto"/>
        <w:jc w:val="both"/>
      </w:pPr>
      <w:r>
        <w:rPr>
          <w:color w:val="1A202C"/>
        </w:rPr>
        <w:t>The following mechanisms reduce the risk of hallucinated ontology entities or syntactically invali</w:t>
      </w:r>
      <w:r>
        <w:rPr>
          <w:color w:val="1A202C"/>
        </w:rPr>
        <w:t>d SPARQL:</w:t>
      </w:r>
    </w:p>
    <w:p w:rsidR="008446FD" w:rsidRDefault="003D75FE">
      <w:pPr>
        <w:pStyle w:val="ListeParagraf"/>
        <w:numPr>
          <w:ilvl w:val="0"/>
          <w:numId w:val="3"/>
        </w:numPr>
        <w:spacing w:after="100"/>
      </w:pPr>
      <w:r>
        <w:rPr>
          <w:color w:val="1A202C"/>
        </w:rPr>
        <w:t>The system prompt explicitly lists all valid individual names, property names, and category values, preventing the model from fabricating non-existent entities.</w:t>
      </w:r>
    </w:p>
    <w:p w:rsidR="008446FD" w:rsidRDefault="003D75FE">
      <w:pPr>
        <w:pStyle w:val="ListeParagraf"/>
        <w:numPr>
          <w:ilvl w:val="0"/>
          <w:numId w:val="3"/>
        </w:numPr>
        <w:spacing w:after="100"/>
      </w:pPr>
      <w:r>
        <w:rPr>
          <w:color w:val="1A202C"/>
        </w:rPr>
        <w:t xml:space="preserve">Generated queries are executed by RDFLib immediately after generation. Syntactically </w:t>
      </w:r>
      <w:r>
        <w:rPr>
          <w:color w:val="1A202C"/>
        </w:rPr>
        <w:t>or semantically invalid SPARQL raises a parsing exception that is caught and reported, providing automatic validation without human review.</w:t>
      </w:r>
    </w:p>
    <w:p w:rsidR="008446FD" w:rsidRDefault="003D75FE">
      <w:pPr>
        <w:pStyle w:val="ListeParagraf"/>
        <w:numPr>
          <w:ilvl w:val="0"/>
          <w:numId w:val="3"/>
        </w:numPr>
        <w:spacing w:after="100"/>
      </w:pPr>
      <w:r>
        <w:rPr>
          <w:color w:val="1A202C"/>
        </w:rPr>
        <w:t>The output format constraint (SPARQL only) prevents narrative text from being mixed with query code, which would oth</w:t>
      </w:r>
      <w:r>
        <w:rPr>
          <w:color w:val="1A202C"/>
        </w:rPr>
        <w:t>erwise cause parsing failures.</w:t>
      </w:r>
    </w:p>
    <w:p w:rsidR="008446FD" w:rsidRDefault="003D75FE">
      <w:pPr>
        <w:pStyle w:val="ListeParagraf"/>
        <w:numPr>
          <w:ilvl w:val="0"/>
          <w:numId w:val="3"/>
        </w:numPr>
        <w:spacing w:after="100"/>
      </w:pPr>
      <w:r>
        <w:rPr>
          <w:color w:val="1A202C"/>
        </w:rPr>
        <w:t>For production deployment, retrieval-augmented generation (RAG) against the ontology serialization would further reduce hallucination by providing dynamic context at query time.</w:t>
      </w:r>
    </w:p>
    <w:p w:rsidR="008446FD" w:rsidRDefault="008446FD">
      <w:pPr>
        <w:spacing w:after="160"/>
      </w:pPr>
    </w:p>
    <w:p w:rsidR="008446FD" w:rsidRDefault="003D75FE">
      <w:pPr>
        <w:pStyle w:val="Balk2"/>
      </w:pPr>
      <w:r>
        <w:t>8.4 Example Interactions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40"/>
        <w:gridCol w:w="3240"/>
        <w:gridCol w:w="2880"/>
      </w:tblGrid>
      <w:tr w:rsidR="008446FD">
        <w:trPr>
          <w:tblHeader/>
        </w:trPr>
        <w:tc>
          <w:tcPr>
            <w:tcW w:w="32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Natural Language Ques</w:t>
            </w:r>
            <w:r>
              <w:rPr>
                <w:b/>
                <w:bCs/>
                <w:color w:val="FFFFFF"/>
                <w:sz w:val="19"/>
                <w:szCs w:val="19"/>
              </w:rPr>
              <w:t>tion</w:t>
            </w:r>
          </w:p>
        </w:tc>
        <w:tc>
          <w:tcPr>
            <w:tcW w:w="32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Generated SPARQL Key Clause</w:t>
            </w:r>
          </w:p>
        </w:tc>
        <w:tc>
          <w:tcPr>
            <w:tcW w:w="288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Result</w:t>
            </w:r>
          </w:p>
        </w:tc>
      </w:tr>
      <w:tr w:rsidR="008446FD">
        <w:tc>
          <w:tcPr>
            <w:tcW w:w="32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Which patients have a high risk level?</w:t>
            </w:r>
          </w:p>
        </w:tc>
        <w:tc>
          <w:tcPr>
            <w:tcW w:w="32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FILTER(?riskLevel = "High")</w:t>
            </w:r>
          </w:p>
        </w:tc>
        <w:tc>
          <w:tcPr>
            <w:tcW w:w="28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8 patients: Ayse, Burak, Zeynep, Hasan, Murat, Derya, Cemil, Gulsah</w:t>
            </w:r>
          </w:p>
        </w:tc>
      </w:tr>
      <w:tr w:rsidR="008446FD">
        <w:tc>
          <w:tcPr>
            <w:tcW w:w="32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What treatments are available for Tuberculosis?</w:t>
            </w:r>
          </w:p>
        </w:tc>
        <w:tc>
          <w:tcPr>
            <w:tcW w:w="32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hdo:Tuberculosis hdo:hasTreatment ?t</w:t>
            </w:r>
          </w:p>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IsoniazidRifampin, Pyrazinamide, Ethambutol</w:t>
            </w:r>
          </w:p>
        </w:tc>
      </w:tr>
      <w:tr w:rsidR="008446FD">
        <w:tc>
          <w:tcPr>
            <w:tcW w:w="32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How many symptoms does each disease have?</w:t>
            </w:r>
          </w:p>
        </w:tc>
        <w:tc>
          <w:tcPr>
            <w:tcW w:w="32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COUNT(?symptom) GROUP BY ?diseaseLabel</w:t>
            </w:r>
          </w:p>
        </w:tc>
        <w:tc>
          <w:tcPr>
            <w:tcW w:w="28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50 rows ordered by count descending</w:t>
            </w:r>
          </w:p>
        </w:tc>
      </w:tr>
      <w:tr w:rsidR="008446FD">
        <w:tc>
          <w:tcPr>
            <w:tcW w:w="32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Which diseases belong to the Neurological category?</w:t>
            </w:r>
          </w:p>
        </w:tc>
        <w:tc>
          <w:tcPr>
            <w:tcW w:w="32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FILTER(?category = "Neurological")</w:t>
            </w:r>
          </w:p>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Migraine, Alzheimer, Epilepsy, Parkinson, MultipleSclerosis, Meningitis</w:t>
            </w:r>
          </w:p>
        </w:tc>
      </w:tr>
      <w:tr w:rsidR="008446FD">
        <w:tc>
          <w:tcPr>
            <w:tcW w:w="32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Which patients have been symptomatic for more than 30 days?</w:t>
            </w:r>
          </w:p>
        </w:tc>
        <w:tc>
          <w:tcPr>
            <w:tcW w:w="32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FILTER(?duration &gt; 30) ORDER BY DESC(?duration)</w:t>
            </w:r>
          </w:p>
        </w:tc>
        <w:tc>
          <w:tcPr>
            <w:tcW w:w="28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Fatma (180d), Kemal (90d), Murat (60d), Nilufer (60d), Aysun (50d), Selin (45d), Mehmet (30d)</w:t>
            </w:r>
          </w:p>
        </w:tc>
      </w:tr>
    </w:tbl>
    <w:p w:rsidR="008446FD" w:rsidRDefault="003D75FE">
      <w:r>
        <w:br w:type="page"/>
      </w:r>
    </w:p>
    <w:p w:rsidR="008446FD" w:rsidRDefault="003D75FE">
      <w:pPr>
        <w:pStyle w:val="Balk1"/>
      </w:pPr>
      <w:r>
        <w:t>9. Evaluation, Discussion and Conclusion</w:t>
      </w:r>
    </w:p>
    <w:p w:rsidR="008446FD" w:rsidRDefault="003D75FE">
      <w:pPr>
        <w:pStyle w:val="Balk2"/>
      </w:pPr>
      <w:r>
        <w:t>9.1 Evaluation Summary</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00"/>
        <w:gridCol w:w="2160"/>
        <w:gridCol w:w="4500"/>
      </w:tblGrid>
      <w:tr w:rsidR="008446FD">
        <w:trPr>
          <w:tblHeader/>
        </w:trPr>
        <w:tc>
          <w:tcPr>
            <w:tcW w:w="27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Criterion</w:t>
            </w:r>
          </w:p>
        </w:tc>
        <w:tc>
          <w:tcPr>
            <w:tcW w:w="216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Outcome</w:t>
            </w:r>
          </w:p>
        </w:tc>
        <w:tc>
          <w:tcPr>
            <w:tcW w:w="45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Detail</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SPARQL Queries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20 / 20 passed</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All query categories executed without error: basic (8), reasoning (3), aggregation/filter (9)</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SHACL Validation</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Conforms: True</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Zero violations; 7 shapes; 20 property constraints enforced; 1,925 triples validated</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OWL Property Chain</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Verified in Protégé</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HermiT correctly infers possibleDiagnosis for all patients with overlapping symptoms</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SWRL Rule</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Fires correctly</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Ali and Selin match duration &gt; 13 AND fever = Yes; SputumTest assigned by rule</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LLM Integration</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Functional</w:t>
            </w:r>
          </w:p>
        </w:tc>
        <w:tc>
          <w:tcPr>
            <w:tcW w:w="45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Claude API generates syntactically correct SPARQL for diverse natural language questions</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Knowledge Graph Scale</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1,925 triples</w:t>
            </w:r>
          </w:p>
        </w:tc>
        <w:tc>
          <w:tcPr>
            <w:tcW w:w="4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50 diseases, 103 symptoms, 99 treatments, 20 patients — largest among course project iterations</w:t>
            </w:r>
          </w:p>
        </w:tc>
      </w:tr>
    </w:tbl>
    <w:p w:rsidR="008446FD" w:rsidRDefault="008446FD">
      <w:pPr>
        <w:spacing w:after="160"/>
      </w:pPr>
    </w:p>
    <w:p w:rsidR="008446FD" w:rsidRDefault="003D75FE">
      <w:pPr>
        <w:pStyle w:val="Balk2"/>
      </w:pPr>
      <w:r>
        <w:t>9.2 Discussion</w:t>
      </w:r>
    </w:p>
    <w:p w:rsidR="008446FD" w:rsidRDefault="003D75FE">
      <w:pPr>
        <w:spacing w:after="160" w:line="276" w:lineRule="auto"/>
        <w:jc w:val="both"/>
      </w:pPr>
      <w:r>
        <w:rPr>
          <w:color w:val="1A202C"/>
        </w:rPr>
        <w:t>The evaluation demonstrates that the ontology correctly implements all five components: OWL 2 class hierarchy and property definitions, automated inference via property chain, rule-based clinical decision support via SWRL, constraint-based data quality via</w:t>
      </w:r>
      <w:r>
        <w:rPr>
          <w:color w:val="1A202C"/>
        </w:rPr>
        <w:t xml:space="preserve"> SHACL, and natural language querying via LLM integration. The 20 SPARQL queries collectively address all 10 competency questions, validating the ontology's coverage of the target domain.</w:t>
      </w:r>
    </w:p>
    <w:p w:rsidR="008446FD" w:rsidRDefault="008446FD">
      <w:pPr>
        <w:spacing w:after="160"/>
      </w:pPr>
    </w:p>
    <w:p w:rsidR="008446FD" w:rsidRDefault="003D75FE">
      <w:pPr>
        <w:spacing w:after="160" w:line="276" w:lineRule="auto"/>
        <w:jc w:val="both"/>
      </w:pPr>
      <w:r>
        <w:rPr>
          <w:color w:val="1A202C"/>
        </w:rPr>
        <w:t>The property chain inference mechanism is particularly noteworthy b</w:t>
      </w:r>
      <w:r>
        <w:rPr>
          <w:color w:val="1A202C"/>
        </w:rPr>
        <w:t>ecause it achieves a form of multi-disease differential diagnosis automatically: any patient reporting a combination of symptoms will have all diseases whose symptom sets overlap with those reported symptoms inferred as possible diagnoses, without requirin</w:t>
      </w:r>
      <w:r>
        <w:rPr>
          <w:color w:val="1A202C"/>
        </w:rPr>
        <w:t>g any disease-specific inference rules. This is semantically more general and extensible than a conventional rule-based approach.</w:t>
      </w:r>
    </w:p>
    <w:p w:rsidR="008446FD" w:rsidRDefault="008446FD">
      <w:pPr>
        <w:spacing w:after="160"/>
      </w:pPr>
    </w:p>
    <w:p w:rsidR="008446FD" w:rsidRDefault="003D75FE">
      <w:pPr>
        <w:spacing w:after="160" w:line="276" w:lineRule="auto"/>
        <w:jc w:val="both"/>
      </w:pPr>
      <w:r>
        <w:rPr>
          <w:color w:val="1A202C"/>
        </w:rPr>
        <w:t xml:space="preserve">The SHACL validation results confirm that the ABox is internally consistent and compliant with all defined constraints. The PatientShape's eight constraints provide meaningful clinical validation: for example, the sh:in constraint on hasRiskLevel prevents </w:t>
      </w:r>
      <w:r>
        <w:rPr>
          <w:color w:val="1A202C"/>
        </w:rPr>
        <w:t>any risk level value outside {Low, Medium, High} from being accepted, and the minCount 1 constraint on requiresTest ensures that every patient has at least one diagnostic test assigned.</w:t>
      </w:r>
    </w:p>
    <w:p w:rsidR="008446FD" w:rsidRDefault="003D75FE">
      <w:pPr>
        <w:pStyle w:val="Balk2"/>
      </w:pPr>
      <w:r>
        <w:t>9.3 Limitations</w:t>
      </w:r>
    </w:p>
    <w:p w:rsidR="008446FD" w:rsidRDefault="003D75FE">
      <w:pPr>
        <w:pStyle w:val="ListeParagraf"/>
        <w:numPr>
          <w:ilvl w:val="0"/>
          <w:numId w:val="3"/>
        </w:numPr>
        <w:spacing w:after="100"/>
      </w:pPr>
      <w:r>
        <w:rPr>
          <w:color w:val="1A202C"/>
        </w:rPr>
        <w:t>RDFLib does not natively evaluate OWL 2 property chain</w:t>
      </w:r>
      <w:r>
        <w:rPr>
          <w:color w:val="1A202C"/>
        </w:rPr>
        <w:t xml:space="preserve"> axioms. The possibleDiagnosis triples produced by HermiT in Protégé must be pre-serialized into the Turtle file for SPARQL querying, rather than being generated dynamically at query time. A full OWL 2 DL-capable triple store such as GraphDB (with RDFS+ re</w:t>
      </w:r>
      <w:r>
        <w:rPr>
          <w:color w:val="1A202C"/>
        </w:rPr>
        <w:t>asoning) would eliminate this limitation.</w:t>
      </w:r>
    </w:p>
    <w:p w:rsidR="008446FD" w:rsidRDefault="003D75FE">
      <w:pPr>
        <w:pStyle w:val="ListeParagraf"/>
        <w:numPr>
          <w:ilvl w:val="0"/>
          <w:numId w:val="3"/>
        </w:numPr>
        <w:spacing w:after="100"/>
      </w:pPr>
      <w:r>
        <w:rPr>
          <w:color w:val="1A202C"/>
        </w:rPr>
        <w:t>SWRL rules are defined and executed within Protégé but are simulated by SPARQL FILTER conditions in the RDFLib environment. A production deployment would require a SWRL-capable reasoner integrated with the triple s</w:t>
      </w:r>
      <w:r>
        <w:rPr>
          <w:color w:val="1A202C"/>
        </w:rPr>
        <w:t>tore.</w:t>
      </w:r>
    </w:p>
    <w:p w:rsidR="008446FD" w:rsidRDefault="003D75FE">
      <w:pPr>
        <w:pStyle w:val="ListeParagraf"/>
        <w:numPr>
          <w:ilvl w:val="0"/>
          <w:numId w:val="3"/>
        </w:numPr>
        <w:spacing w:after="100"/>
      </w:pPr>
      <w:r>
        <w:rPr>
          <w:color w:val="1A202C"/>
        </w:rPr>
        <w:t>The dataset covers 50 diseases, which while significantly expanded from the initial scope, remains small relative to clinical coding systems. SNOMED CT covers over 350,000 clinical concepts; ICD-10-CM over 70,000 diagnostic codes. Scaling to these da</w:t>
      </w:r>
      <w:r>
        <w:rPr>
          <w:color w:val="1A202C"/>
        </w:rPr>
        <w:t>tasets would require automated ingestion pipelines and likely a graph database backend.</w:t>
      </w:r>
    </w:p>
    <w:p w:rsidR="008446FD" w:rsidRDefault="003D75FE">
      <w:pPr>
        <w:pStyle w:val="ListeParagraf"/>
        <w:numPr>
          <w:ilvl w:val="0"/>
          <w:numId w:val="3"/>
        </w:numPr>
        <w:spacing w:after="100"/>
      </w:pPr>
      <w:r>
        <w:rPr>
          <w:color w:val="1A202C"/>
        </w:rPr>
        <w:t>No probabilistic or confidence-weighted reasoning is implemented. All diagnosis inference is binary: a disease is either a possible diagnosis or it is not, based on any</w:t>
      </w:r>
      <w:r>
        <w:rPr>
          <w:color w:val="1A202C"/>
        </w:rPr>
        <w:t xml:space="preserve"> symptom overlap. Clinical practice typically involves weighted evidence and differential ranking.</w:t>
      </w:r>
    </w:p>
    <w:p w:rsidR="008446FD" w:rsidRDefault="003D75FE">
      <w:pPr>
        <w:pStyle w:val="ListeParagraf"/>
        <w:numPr>
          <w:ilvl w:val="0"/>
          <w:numId w:val="3"/>
        </w:numPr>
        <w:spacing w:after="100"/>
      </w:pPr>
      <w:r>
        <w:rPr>
          <w:color w:val="1A202C"/>
        </w:rPr>
        <w:t>GraphDB deployment was not completed within the project timeline. All SPARQL execution is performed locally against the RDFLib in-memory graph.</w:t>
      </w:r>
    </w:p>
    <w:p w:rsidR="008446FD" w:rsidRDefault="003D75FE">
      <w:pPr>
        <w:pStyle w:val="ListeParagraf"/>
        <w:numPr>
          <w:ilvl w:val="0"/>
          <w:numId w:val="3"/>
        </w:numPr>
        <w:spacing w:after="100"/>
      </w:pPr>
      <w:r>
        <w:rPr>
          <w:color w:val="1A202C"/>
        </w:rPr>
        <w:t>The LLM integration requires an active Anthropic API key. For offline or air-gapped deployments, a locally hosted open-weights language model would be required.</w:t>
      </w:r>
    </w:p>
    <w:p w:rsidR="008446FD" w:rsidRDefault="008446FD">
      <w:pPr>
        <w:spacing w:after="160"/>
      </w:pPr>
    </w:p>
    <w:p w:rsidR="008446FD" w:rsidRDefault="003D75FE">
      <w:pPr>
        <w:pStyle w:val="Balk2"/>
      </w:pPr>
      <w:r>
        <w:t>9.4 Conclusion</w:t>
      </w:r>
    </w:p>
    <w:p w:rsidR="008446FD" w:rsidRDefault="003D75FE">
      <w:pPr>
        <w:spacing w:after="160" w:line="276" w:lineRule="auto"/>
        <w:jc w:val="both"/>
      </w:pPr>
      <w:r>
        <w:rPr>
          <w:color w:val="1A202C"/>
        </w:rPr>
        <w:t>This project demonstrates that a cohesive semantic web technology stack — OWL 2</w:t>
      </w:r>
      <w:r>
        <w:rPr>
          <w:color w:val="1A202C"/>
        </w:rPr>
        <w:t>, SWRL, SPARQL 1.1, SHACL, and LLM integration — can be assembled into a functional, validated, and explainable clinical decision support knowledge base. The Healthcare Diagnosis Ontology v4 successfully models the clinical diagnosis domain at a scale mean</w:t>
      </w:r>
      <w:r>
        <w:rPr>
          <w:color w:val="1A202C"/>
        </w:rPr>
        <w:t>ingful for academic demonstration, supports automated logical inference without hand-coded diagnostic rules, enforces data quality through a comprehensive constraint layer, and provides both programmatic and natural language query interfaces.</w:t>
      </w:r>
    </w:p>
    <w:p w:rsidR="008446FD" w:rsidRDefault="008446FD">
      <w:pPr>
        <w:spacing w:after="160"/>
      </w:pPr>
    </w:p>
    <w:p w:rsidR="008446FD" w:rsidRDefault="003D75FE">
      <w:pPr>
        <w:spacing w:after="160" w:line="276" w:lineRule="auto"/>
        <w:jc w:val="both"/>
      </w:pPr>
      <w:r>
        <w:rPr>
          <w:color w:val="1A202C"/>
        </w:rPr>
        <w:t xml:space="preserve">The project </w:t>
      </w:r>
      <w:r>
        <w:rPr>
          <w:color w:val="1A202C"/>
        </w:rPr>
        <w:t>validates the core thesis that ontology-driven approaches offer advantages over opaque machine learning models in high-stakes domains such as clinical medicine: the inference paths are transparent, the constraints are explicit, the results are reproducible</w:t>
      </w:r>
      <w:r>
        <w:rPr>
          <w:color w:val="1A202C"/>
        </w:rPr>
        <w:t>, and the knowledge base is human-readable and maintainable. These properties are prerequisites for regulatory approval and clinical adoption of AI-assisted diagnostic tools.</w:t>
      </w:r>
    </w:p>
    <w:p w:rsidR="008446FD" w:rsidRDefault="008446FD">
      <w:pPr>
        <w:spacing w:after="160"/>
      </w:pPr>
    </w:p>
    <w:p w:rsidR="008446FD" w:rsidRDefault="003D75FE">
      <w:pPr>
        <w:spacing w:after="160" w:line="276" w:lineRule="auto"/>
        <w:jc w:val="both"/>
      </w:pPr>
      <w:r>
        <w:rPr>
          <w:color w:val="1A202C"/>
        </w:rPr>
        <w:t>Planned future work includes: deployment of the knowledge graph on GraphDB to en</w:t>
      </w:r>
      <w:r>
        <w:rPr>
          <w:color w:val="1A202C"/>
        </w:rPr>
        <w:t>able full OWL 2 reasoning at query time; expansion of disease coverage to ICD-10 scale using automated DOID-to-TTL conversion pipelines; implementation of real-time clinical alert generation using Apache Kafka and Siddhi CEP; integration of retrieval-augme</w:t>
      </w:r>
      <w:r>
        <w:rPr>
          <w:color w:val="1A202C"/>
        </w:rPr>
        <w:t>nted generation (RAG) to ground LLM responses in the ontology at inference time; and extension of patient profiles to include longitudinal observation data.</w:t>
      </w:r>
    </w:p>
    <w:p w:rsidR="008446FD" w:rsidRDefault="003D75FE">
      <w:r>
        <w:br w:type="page"/>
      </w:r>
    </w:p>
    <w:p w:rsidR="008446FD" w:rsidRDefault="003D75FE">
      <w:pPr>
        <w:pStyle w:val="Balk1"/>
      </w:pPr>
      <w:r>
        <w:t>10. References</w:t>
      </w:r>
    </w:p>
    <w:p w:rsidR="008446FD" w:rsidRDefault="003D75FE">
      <w:pPr>
        <w:spacing w:after="160" w:line="276" w:lineRule="auto"/>
        <w:jc w:val="both"/>
      </w:pPr>
      <w:r>
        <w:rPr>
          <w:color w:val="1A202C"/>
        </w:rPr>
        <w:t xml:space="preserve">Schriml, L. M., Arze, C., Nadendla, S., Chang, Y.-W. C., Mazaitis, M., Felix, V., </w:t>
      </w:r>
      <w:r>
        <w:rPr>
          <w:color w:val="1A202C"/>
        </w:rPr>
        <w:t>Feng, G., &amp; Kibbe, W. A. (2022). Human Disease Ontology 2022 update. Nucleic Acids Research, 50(D1), D1305–D1310. https://doi.org/10.1093/nar/gkab1063</w:t>
      </w:r>
    </w:p>
    <w:p w:rsidR="008446FD" w:rsidRDefault="008446FD">
      <w:pPr>
        <w:spacing w:after="80"/>
      </w:pPr>
    </w:p>
    <w:p w:rsidR="008446FD" w:rsidRDefault="003D75FE">
      <w:pPr>
        <w:spacing w:after="160" w:line="276" w:lineRule="auto"/>
        <w:jc w:val="both"/>
      </w:pPr>
      <w:r>
        <w:rPr>
          <w:color w:val="1A202C"/>
        </w:rPr>
        <w:t xml:space="preserve">Grau, B. C., Horrocks, I., Motik, B., Parsia, B., Patel-Schneider, P., &amp; Sattler, U. (2008). OWL 2: The </w:t>
      </w:r>
      <w:r>
        <w:rPr>
          <w:color w:val="1A202C"/>
        </w:rPr>
        <w:t>next step for OWL. Journal of Web Semantics, 6(4), 309–322. https://doi.org/10.1016/j.websem.2008.05.001</w:t>
      </w:r>
    </w:p>
    <w:p w:rsidR="008446FD" w:rsidRDefault="008446FD">
      <w:pPr>
        <w:spacing w:after="80"/>
      </w:pPr>
    </w:p>
    <w:p w:rsidR="008446FD" w:rsidRDefault="003D75FE">
      <w:pPr>
        <w:spacing w:after="160" w:line="276" w:lineRule="auto"/>
        <w:jc w:val="both"/>
      </w:pPr>
      <w:r>
        <w:rPr>
          <w:color w:val="1A202C"/>
        </w:rPr>
        <w:t>Shearer, R., Motik, B., &amp; Horrocks, I. (2008). HermiT: A Highly-Efficient OWL Reasoner. Proceedings of the 5th International Workshop on OWL: Experien</w:t>
      </w:r>
      <w:r>
        <w:rPr>
          <w:color w:val="1A202C"/>
        </w:rPr>
        <w:t>ces and Directions (OWLED 2008).</w:t>
      </w:r>
    </w:p>
    <w:p w:rsidR="008446FD" w:rsidRDefault="008446FD">
      <w:pPr>
        <w:spacing w:after="80"/>
      </w:pPr>
    </w:p>
    <w:p w:rsidR="008446FD" w:rsidRDefault="003D75FE">
      <w:pPr>
        <w:spacing w:after="160" w:line="276" w:lineRule="auto"/>
        <w:jc w:val="both"/>
      </w:pPr>
      <w:r>
        <w:rPr>
          <w:color w:val="1A202C"/>
        </w:rPr>
        <w:t>Harris, S., &amp; Seaborne, A. (Eds.). (2013). SPARQL 1.1 Query Language. W3C Recommendation. https://www.w3.org/TR/sparql11-query/</w:t>
      </w:r>
    </w:p>
    <w:p w:rsidR="008446FD" w:rsidRDefault="008446FD">
      <w:pPr>
        <w:spacing w:after="80"/>
      </w:pPr>
    </w:p>
    <w:p w:rsidR="008446FD" w:rsidRDefault="003D75FE">
      <w:pPr>
        <w:spacing w:after="160" w:line="276" w:lineRule="auto"/>
        <w:jc w:val="both"/>
      </w:pPr>
      <w:r>
        <w:rPr>
          <w:color w:val="1A202C"/>
        </w:rPr>
        <w:t>Knublauch, H., &amp; Kontokostas, D. (Eds.). (2017). Shapes Constraint Language (SHACL). W3C Reco</w:t>
      </w:r>
      <w:r>
        <w:rPr>
          <w:color w:val="1A202C"/>
        </w:rPr>
        <w:t>mmendation. https://www.w3.org/TR/shacl/</w:t>
      </w:r>
    </w:p>
    <w:p w:rsidR="008446FD" w:rsidRDefault="008446FD">
      <w:pPr>
        <w:spacing w:after="80"/>
      </w:pPr>
    </w:p>
    <w:p w:rsidR="008446FD" w:rsidRDefault="003D75FE">
      <w:pPr>
        <w:spacing w:after="160" w:line="276" w:lineRule="auto"/>
        <w:jc w:val="both"/>
      </w:pPr>
      <w:r>
        <w:rPr>
          <w:color w:val="1A202C"/>
        </w:rPr>
        <w:t>Horrocks, I., Patel-Schneider, P. F., Boley, H., Tabet, S., Grosof, B., &amp; Dean, M. (2004). SWRL: A Semantic Web Rule Language Combining OWL and RuleML. W3C Member Submission. https://www.w3.org/Submission/SWRL/</w:t>
      </w:r>
    </w:p>
    <w:p w:rsidR="008446FD" w:rsidRDefault="008446FD">
      <w:pPr>
        <w:spacing w:after="80"/>
      </w:pPr>
    </w:p>
    <w:p w:rsidR="008446FD" w:rsidRDefault="003D75FE">
      <w:pPr>
        <w:spacing w:after="160" w:line="276" w:lineRule="auto"/>
        <w:jc w:val="both"/>
      </w:pPr>
      <w:r>
        <w:rPr>
          <w:color w:val="1A202C"/>
        </w:rPr>
        <w:t>RD</w:t>
      </w:r>
      <w:r>
        <w:rPr>
          <w:color w:val="1A202C"/>
        </w:rPr>
        <w:t>FLib Contributors. (2024). RDFLib 7.0 Documentation. https://rdflib.readthedocs.io/en/stable/</w:t>
      </w:r>
    </w:p>
    <w:p w:rsidR="008446FD" w:rsidRDefault="008446FD">
      <w:pPr>
        <w:spacing w:after="80"/>
      </w:pPr>
    </w:p>
    <w:p w:rsidR="008446FD" w:rsidRDefault="003D75FE">
      <w:pPr>
        <w:spacing w:after="160" w:line="276" w:lineRule="auto"/>
        <w:jc w:val="both"/>
      </w:pPr>
      <w:r>
        <w:rPr>
          <w:color w:val="1A202C"/>
        </w:rPr>
        <w:t>Sirin, E., Parsia, B., Grau, B. C., Kalyanpur, A., &amp; Katz, Y. (2007). Pellet: A practical OWL-DL reasoner. Journal of Web Semantics, 5(2), 51–53. https://doi.org</w:t>
      </w:r>
      <w:r>
        <w:rPr>
          <w:color w:val="1A202C"/>
        </w:rPr>
        <w:t>/10.1016/j.websem.2007.03.004</w:t>
      </w:r>
    </w:p>
    <w:p w:rsidR="008446FD" w:rsidRDefault="008446FD">
      <w:pPr>
        <w:spacing w:after="80"/>
      </w:pPr>
    </w:p>
    <w:p w:rsidR="008446FD" w:rsidRDefault="003D75FE">
      <w:pPr>
        <w:spacing w:after="160" w:line="276" w:lineRule="auto"/>
        <w:jc w:val="both"/>
      </w:pPr>
      <w:r>
        <w:rPr>
          <w:color w:val="1A202C"/>
        </w:rPr>
        <w:t>Pan, J. Z., Tian, Y., Wang, H., Wu, T., Zhang, Y., &amp; Chen, H. (2023). Unifying Large Language Models and Knowledge Graphs: A Roadmap. arXiv:2306.08302. https://arxiv.org/abs/2306.08302</w:t>
      </w:r>
    </w:p>
    <w:p w:rsidR="008446FD" w:rsidRDefault="008446FD">
      <w:pPr>
        <w:spacing w:after="80"/>
      </w:pPr>
    </w:p>
    <w:p w:rsidR="008446FD" w:rsidRDefault="003D75FE">
      <w:pPr>
        <w:spacing w:after="160" w:line="276" w:lineRule="auto"/>
        <w:jc w:val="both"/>
      </w:pPr>
      <w:r>
        <w:rPr>
          <w:color w:val="1A202C"/>
        </w:rPr>
        <w:t>Anthropic. (2024). Claude API Documentation. https://docs.anthropic.com/</w:t>
      </w:r>
    </w:p>
    <w:p w:rsidR="008446FD" w:rsidRDefault="008446FD">
      <w:pPr>
        <w:spacing w:after="80"/>
      </w:pPr>
    </w:p>
    <w:p w:rsidR="008446FD" w:rsidRDefault="003D75FE">
      <w:pPr>
        <w:spacing w:after="160" w:line="276" w:lineRule="auto"/>
        <w:jc w:val="both"/>
      </w:pPr>
      <w:r>
        <w:rPr>
          <w:color w:val="1A202C"/>
        </w:rPr>
        <w:t>Noy, N. F., &amp; McGuinness, D. L. (2001). Ontology Development 101: A Guide to Creating Your First Ontology. Stanford Knowledge Systems Laboratory Technical Report KSL-01-05. https://p</w:t>
      </w:r>
      <w:r>
        <w:rPr>
          <w:color w:val="1A202C"/>
        </w:rPr>
        <w:t>rotege.stanford.edu/publications/ontology_development/ontology101.pdf</w:t>
      </w:r>
    </w:p>
    <w:p w:rsidR="008446FD" w:rsidRDefault="008446FD">
      <w:pPr>
        <w:spacing w:after="80"/>
      </w:pPr>
    </w:p>
    <w:p w:rsidR="008446FD" w:rsidRDefault="003D75FE">
      <w:pPr>
        <w:spacing w:after="160" w:line="276" w:lineRule="auto"/>
        <w:jc w:val="both"/>
      </w:pPr>
      <w:r>
        <w:rPr>
          <w:color w:val="1A202C"/>
        </w:rPr>
        <w:t>Decker, S., Mitra, P., &amp; Melnik, S. (2000). Framework for the semantic web: An RDF tutorial. IEEE Internet Computing, 4(6), 68–73. https://doi.org/10.1109/4236.895080</w:t>
      </w:r>
    </w:p>
    <w:p w:rsidR="008446FD" w:rsidRDefault="003D75FE">
      <w:r>
        <w:br w:type="page"/>
      </w:r>
    </w:p>
    <w:p w:rsidR="008446FD" w:rsidRDefault="003D75FE">
      <w:pPr>
        <w:pStyle w:val="Balk1"/>
      </w:pPr>
      <w:r>
        <w:t>Appendix A — Com</w:t>
      </w:r>
      <w:r>
        <w:t>plete Disease Registry (50 Diseases)</w:t>
      </w:r>
    </w:p>
    <w:tbl>
      <w:tblPr>
        <w:tblW w:w="882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49"/>
        <w:gridCol w:w="1548"/>
        <w:gridCol w:w="1781"/>
        <w:gridCol w:w="1418"/>
        <w:gridCol w:w="1424"/>
      </w:tblGrid>
      <w:tr w:rsidR="008446FD">
        <w:trPr>
          <w:tblHeader/>
        </w:trPr>
        <w:tc>
          <w:tcPr>
            <w:tcW w:w="27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Disease</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DOID</w:t>
            </w:r>
          </w:p>
        </w:tc>
        <w:tc>
          <w:tcPr>
            <w:tcW w:w="18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Category</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No. Symptoms</w:t>
            </w:r>
          </w:p>
        </w:tc>
        <w:tc>
          <w:tcPr>
            <w:tcW w:w="144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No. Treatments</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Influenza</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DOID:8469</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COVID-19</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DOID:0080600</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Tuberculosis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DOID:399</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Pneumonia</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DOID:552</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Dengue</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DOID:12205</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Malaria</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DOID:12365</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Cholera</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DOID:1498</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Chickenpox</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DOID:8659</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Typhoid</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DOID:13258</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Hepatitis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DOID:2237</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Measles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DOID:8622</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Mumps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DOID:10264</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Rabies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DOID:11260</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Leptospirosis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DOID:2297</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Schistosomiasis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DOID:1395</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Asthma</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DOID:2841</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Respiratory</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7</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Bronchitis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DOID:6132</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Respiratory</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COPD</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DOID:3083</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Respiratory</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PulmonaryFibrosis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DOID:3770</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Respiratory</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SleepApnea</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DOID:0050847</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Respiratory</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Diabetes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DOID:9351</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Metabolic</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Hypothyroidism</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DOID:1459</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Metabolic</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Hyperthyroidism</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DOID:119</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Metabolic</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Gout</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DOID:13188</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Metabolic</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Obesity</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DOID:9970</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Metabolic</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Hypertension</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DOID:10763</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Cardiovascular</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HeartFailure</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DOID:6000</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Cardiovascular</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CoronaryArteryDisease</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DOID:3393</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Cardiovascular</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Stroke</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DOID:6713</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Cardiovascular</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Arrhythmia</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DOID:0060224</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Cardiovascular</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Migraine</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DOID:6364</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Neurological</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Alzheimer</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DOID:10652</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Neurological</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Epilepsy</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DOID:1826</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Neurological</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Parkinson</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DOID:14330</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Neurological</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MultipleSclerosis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DOID:2377</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Neurological</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Meningitis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DOID:9471</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Neurological</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Anemia</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DOID:2355</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Hematological</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Leukemia</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DOID:1240</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Hematological</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Hemophilia</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DOID:2355</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Hematological</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RheumatoidArthritis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DOID:7148</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Autoimmune</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Lupus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DOID:9074</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Autoimmune</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Psoriasis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DOID:8893</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Autoimmune</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CeliacDisease</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DOID:10608</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Autoimmune</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Sarcoidosis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DOID:13406</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Autoimmune</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Appendicitis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DOID:8337</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Surgical</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GallstoneDisease</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DOID:9562</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Surgical</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KidneyStones</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DOID:1546</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Surgical</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HerniatedDisc</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DOID:1595</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Surgical</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KidneyDisease</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DOID:557</w:t>
            </w:r>
          </w:p>
        </w:tc>
        <w:tc>
          <w:tcPr>
            <w:tcW w:w="18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Renal</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w:t>
            </w:r>
          </w:p>
        </w:tc>
      </w:tr>
      <w:tr w:rsidR="008446FD">
        <w:tc>
          <w:tcPr>
            <w:tcW w:w="27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Osteoporosis</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DOID:11476</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Musculoskeletal</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w:t>
            </w:r>
          </w:p>
        </w:tc>
        <w:tc>
          <w:tcPr>
            <w:tcW w:w="144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w:t>
            </w:r>
          </w:p>
        </w:tc>
      </w:tr>
    </w:tbl>
    <w:p w:rsidR="008446FD" w:rsidRDefault="008446FD">
      <w:pPr>
        <w:spacing w:after="160"/>
      </w:pPr>
    </w:p>
    <w:p w:rsidR="008446FD" w:rsidRDefault="003D75FE">
      <w:pPr>
        <w:pStyle w:val="Balk1"/>
      </w:pPr>
      <w:r>
        <w:t>Appendix B — Patient Profiles (20 Patients)</w:t>
      </w:r>
    </w:p>
    <w:tbl>
      <w:tblPr>
        <w:tblW w:w="1098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0"/>
        <w:gridCol w:w="720"/>
        <w:gridCol w:w="1080"/>
        <w:gridCol w:w="1080"/>
        <w:gridCol w:w="900"/>
        <w:gridCol w:w="1260"/>
        <w:gridCol w:w="2160"/>
        <w:gridCol w:w="2160"/>
      </w:tblGrid>
      <w:tr w:rsidR="008446FD">
        <w:trPr>
          <w:tblHeader/>
        </w:trPr>
        <w:tc>
          <w:tcPr>
            <w:tcW w:w="162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Patient</w:t>
            </w:r>
          </w:p>
        </w:tc>
        <w:tc>
          <w:tcPr>
            <w:tcW w:w="72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Age</w:t>
            </w:r>
          </w:p>
        </w:tc>
        <w:tc>
          <w:tcPr>
            <w:tcW w:w="108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Gender</w:t>
            </w:r>
          </w:p>
        </w:tc>
        <w:tc>
          <w:tcPr>
            <w:tcW w:w="108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Risk</w:t>
            </w:r>
          </w:p>
        </w:tc>
        <w:tc>
          <w:tcPr>
            <w:tcW w:w="90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Fever</w:t>
            </w:r>
          </w:p>
        </w:tc>
        <w:tc>
          <w:tcPr>
            <w:tcW w:w="126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Duration</w:t>
            </w:r>
          </w:p>
        </w:tc>
        <w:tc>
          <w:tcPr>
            <w:tcW w:w="216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Test Assigned</w:t>
            </w:r>
          </w:p>
        </w:tc>
        <w:tc>
          <w:tcPr>
            <w:tcW w:w="2160" w:type="dxa"/>
            <w:tcBorders>
              <w:top w:val="single" w:sz="1" w:space="0" w:color="CBD5E0"/>
              <w:left w:val="single" w:sz="1" w:space="0" w:color="CBD5E0"/>
              <w:bottom w:val="single" w:sz="1" w:space="0" w:color="CBD5E0"/>
              <w:right w:val="single" w:sz="1" w:space="0" w:color="CBD5E0"/>
            </w:tcBorders>
            <w:shd w:val="clear" w:color="auto" w:fill="1B3A5C"/>
            <w:tcMar>
              <w:top w:w="100" w:type="dxa"/>
              <w:left w:w="140" w:type="dxa"/>
              <w:bottom w:w="100" w:type="dxa"/>
              <w:right w:w="140" w:type="dxa"/>
            </w:tcMar>
            <w:vAlign w:val="center"/>
          </w:tcPr>
          <w:p w:rsidR="008446FD" w:rsidRDefault="003D75FE">
            <w:pPr>
              <w:jc w:val="center"/>
            </w:pPr>
            <w:r>
              <w:rPr>
                <w:b/>
                <w:bCs/>
                <w:color w:val="FFFFFF"/>
                <w:sz w:val="19"/>
                <w:szCs w:val="19"/>
              </w:rPr>
              <w:t>Alert Triggered</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Ali</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35</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Medium</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Yes</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14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Sputum Test</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TB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Ayse</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28</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High</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Yes</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7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PCR Test</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COVID-19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Mehmet</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45</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Low</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30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Spirometry Test</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Respiratory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Zeynep</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52</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High</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21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Glucose Test</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Diabetes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Burak</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61</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High</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Yes</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Chest X-Ray</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Pneumonia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Elif</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32</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Low</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MRI Scan</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Neurological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Hasan</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67</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High</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10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ECG Test</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Cardiac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Selin</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38</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Medium</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Yes</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45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Rheumatoid Factor Test</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Autoimmune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Murat</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58</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High</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60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Kidney Function Test</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Renal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Fatma</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74</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Medium</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180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MRI Scan</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Neurological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Kemal</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69</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Medium</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90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MRI Scan</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Neurological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Nilufer</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44</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Low</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60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Thyroid Function Test</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Tarik</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50</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Medium</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Yes</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8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Uric Acid Test</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Derya</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27</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High</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Yes</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Abdominal Ultrasound</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Surgical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Cemil</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55</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High</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4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Coronary Angiography</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Cardiac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Pinar</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33</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Medium</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25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Blood Test</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Hematological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Volkan</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41</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Medium</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Yes</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9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Blood Test</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Infectious Disease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Aysun</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36</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Low</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50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Skin Biopsy</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Autoimmune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Orhan</w:t>
            </w:r>
          </w:p>
        </w:tc>
        <w:tc>
          <w:tcPr>
            <w:tcW w:w="72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48</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Male</w:t>
            </w:r>
          </w:p>
        </w:tc>
        <w:tc>
          <w:tcPr>
            <w:tcW w:w="108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Medium</w:t>
            </w:r>
          </w:p>
        </w:tc>
        <w:tc>
          <w:tcPr>
            <w:tcW w:w="90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No</w:t>
            </w:r>
          </w:p>
        </w:tc>
        <w:tc>
          <w:tcPr>
            <w:tcW w:w="12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3 days</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Urine Test</w:t>
            </w:r>
          </w:p>
        </w:tc>
        <w:tc>
          <w:tcPr>
            <w:tcW w:w="2160" w:type="dxa"/>
            <w:tcBorders>
              <w:top w:val="single" w:sz="1" w:space="0" w:color="CBD5E0"/>
              <w:left w:val="single" w:sz="1" w:space="0" w:color="CBD5E0"/>
              <w:bottom w:val="single" w:sz="1" w:space="0" w:color="CBD5E0"/>
              <w:right w:val="single" w:sz="1" w:space="0" w:color="CBD5E0"/>
            </w:tcBorders>
            <w:shd w:val="clear" w:color="auto" w:fill="F0F7FA"/>
            <w:tcMar>
              <w:top w:w="100" w:type="dxa"/>
              <w:left w:w="140" w:type="dxa"/>
              <w:bottom w:w="100" w:type="dxa"/>
              <w:right w:w="140" w:type="dxa"/>
            </w:tcMar>
            <w:vAlign w:val="center"/>
          </w:tcPr>
          <w:p w:rsidR="008446FD" w:rsidRDefault="003D75FE">
            <w:r>
              <w:rPr>
                <w:color w:val="1A202C"/>
                <w:sz w:val="19"/>
                <w:szCs w:val="19"/>
              </w:rPr>
              <w:t>Surgical Alert</w:t>
            </w:r>
          </w:p>
        </w:tc>
      </w:tr>
      <w:tr w:rsidR="008446FD">
        <w:tc>
          <w:tcPr>
            <w:tcW w:w="16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Gulsah</w:t>
            </w:r>
          </w:p>
        </w:tc>
        <w:tc>
          <w:tcPr>
            <w:tcW w:w="72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29</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Female</w:t>
            </w:r>
          </w:p>
        </w:tc>
        <w:tc>
          <w:tcPr>
            <w:tcW w:w="108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High</w:t>
            </w:r>
          </w:p>
        </w:tc>
        <w:tc>
          <w:tcPr>
            <w:tcW w:w="9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Yes</w:t>
            </w:r>
          </w:p>
        </w:tc>
        <w:tc>
          <w:tcPr>
            <w:tcW w:w="12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35 days</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Bone Marrow Biopsy</w:t>
            </w:r>
          </w:p>
        </w:tc>
        <w:tc>
          <w:tcPr>
            <w:tcW w:w="2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rsidR="008446FD" w:rsidRDefault="003D75FE">
            <w:r>
              <w:rPr>
                <w:color w:val="1A202C"/>
                <w:sz w:val="19"/>
                <w:szCs w:val="19"/>
              </w:rPr>
              <w:t>Hematological Alert</w:t>
            </w:r>
          </w:p>
        </w:tc>
      </w:tr>
    </w:tbl>
    <w:p w:rsidR="003D75FE" w:rsidRDefault="003D75FE"/>
    <w:sectPr w:rsidR="003D75FE">
      <w:headerReference w:type="default" r:id="rId8"/>
      <w:footerReference w:type="default" r:id="rId9"/>
      <w:pgSz w:w="11906" w:h="16838"/>
      <w:pgMar w:top="1440" w:right="1260" w:bottom="1440" w:left="12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5FE" w:rsidRDefault="003D75FE">
      <w:r>
        <w:separator/>
      </w:r>
    </w:p>
  </w:endnote>
  <w:endnote w:type="continuationSeparator" w:id="0">
    <w:p w:rsidR="003D75FE" w:rsidRDefault="003D7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6FD" w:rsidRDefault="003D75FE">
    <w:pPr>
      <w:pBdr>
        <w:top w:val="single" w:sz="4" w:space="4" w:color="1B3A5C"/>
      </w:pBdr>
      <w:spacing w:before="80"/>
      <w:jc w:val="center"/>
    </w:pPr>
    <w:r>
      <w:rPr>
        <w:color w:val="64748B"/>
        <w:sz w:val="18"/>
        <w:szCs w:val="18"/>
      </w:rPr>
      <w:t xml:space="preserve">Beyza Ucar  |  220316060  |  Page </w:t>
    </w:r>
    <w:r>
      <w:fldChar w:fldCharType="begin"/>
    </w:r>
    <w:r>
      <w:instrText>PAGE</w:instrText>
    </w:r>
    <w:r>
      <w:fldChar w:fldCharType="separate"/>
    </w:r>
    <w:r w:rsidR="00251B8D">
      <w:rPr>
        <w:noProof/>
      </w:rPr>
      <w:t>24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5FE" w:rsidRDefault="003D75FE">
      <w:r>
        <w:separator/>
      </w:r>
    </w:p>
  </w:footnote>
  <w:footnote w:type="continuationSeparator" w:id="0">
    <w:p w:rsidR="003D75FE" w:rsidRDefault="003D75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6FD" w:rsidRDefault="003D75FE">
    <w:pPr>
      <w:pBdr>
        <w:bottom w:val="single" w:sz="4" w:space="4" w:color="1B3A5C"/>
      </w:pBdr>
      <w:tabs>
        <w:tab w:val="right" w:pos="9026"/>
      </w:tabs>
      <w:spacing w:after="80"/>
    </w:pPr>
    <w:r>
      <w:rPr>
        <w:color w:val="64748B"/>
        <w:sz w:val="18"/>
        <w:szCs w:val="18"/>
      </w:rPr>
      <w:t>Healthcare Diagnosis Ontology v4</w:t>
    </w:r>
    <w:r>
      <w:rPr>
        <w:sz w:val="18"/>
        <w:szCs w:val="18"/>
      </w:rPr>
      <w:tab/>
    </w:r>
    <w:r>
      <w:rPr>
        <w:sz w:val="18"/>
        <w:szCs w:val="18"/>
      </w:rPr>
      <w:tab/>
    </w:r>
    <w:r>
      <w:rPr>
        <w:color w:val="64748B"/>
        <w:sz w:val="18"/>
        <w:szCs w:val="18"/>
      </w:rPr>
      <w:t>Knowledge Engineering and Ontologies — MCBU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33BAA"/>
    <w:multiLevelType w:val="hybridMultilevel"/>
    <w:tmpl w:val="6CEAADF0"/>
    <w:lvl w:ilvl="0" w:tplc="67A6A904">
      <w:start w:val="1"/>
      <w:numFmt w:val="bullet"/>
      <w:lvlText w:val="●"/>
      <w:lvlJc w:val="left"/>
      <w:pPr>
        <w:ind w:left="720" w:hanging="360"/>
      </w:pPr>
    </w:lvl>
    <w:lvl w:ilvl="1" w:tplc="80BE708A">
      <w:start w:val="1"/>
      <w:numFmt w:val="bullet"/>
      <w:lvlText w:val="○"/>
      <w:lvlJc w:val="left"/>
      <w:pPr>
        <w:ind w:left="1440" w:hanging="360"/>
      </w:pPr>
    </w:lvl>
    <w:lvl w:ilvl="2" w:tplc="C3065720">
      <w:start w:val="1"/>
      <w:numFmt w:val="bullet"/>
      <w:lvlText w:val="■"/>
      <w:lvlJc w:val="left"/>
      <w:pPr>
        <w:ind w:left="2160" w:hanging="360"/>
      </w:pPr>
    </w:lvl>
    <w:lvl w:ilvl="3" w:tplc="C388A98E">
      <w:start w:val="1"/>
      <w:numFmt w:val="bullet"/>
      <w:lvlText w:val="●"/>
      <w:lvlJc w:val="left"/>
      <w:pPr>
        <w:ind w:left="2880" w:hanging="360"/>
      </w:pPr>
    </w:lvl>
    <w:lvl w:ilvl="4" w:tplc="3A343ED6">
      <w:start w:val="1"/>
      <w:numFmt w:val="bullet"/>
      <w:lvlText w:val="○"/>
      <w:lvlJc w:val="left"/>
      <w:pPr>
        <w:ind w:left="3600" w:hanging="360"/>
      </w:pPr>
    </w:lvl>
    <w:lvl w:ilvl="5" w:tplc="FFDA1A0E">
      <w:start w:val="1"/>
      <w:numFmt w:val="bullet"/>
      <w:lvlText w:val="■"/>
      <w:lvlJc w:val="left"/>
      <w:pPr>
        <w:ind w:left="4320" w:hanging="360"/>
      </w:pPr>
    </w:lvl>
    <w:lvl w:ilvl="6" w:tplc="E94CB9F4">
      <w:start w:val="1"/>
      <w:numFmt w:val="bullet"/>
      <w:lvlText w:val="●"/>
      <w:lvlJc w:val="left"/>
      <w:pPr>
        <w:ind w:left="5040" w:hanging="360"/>
      </w:pPr>
    </w:lvl>
    <w:lvl w:ilvl="7" w:tplc="74FC655E">
      <w:start w:val="1"/>
      <w:numFmt w:val="bullet"/>
      <w:lvlText w:val="●"/>
      <w:lvlJc w:val="left"/>
      <w:pPr>
        <w:ind w:left="5760" w:hanging="360"/>
      </w:pPr>
    </w:lvl>
    <w:lvl w:ilvl="8" w:tplc="38F20C2A">
      <w:start w:val="1"/>
      <w:numFmt w:val="bullet"/>
      <w:lvlText w:val="●"/>
      <w:lvlJc w:val="left"/>
      <w:pPr>
        <w:ind w:left="6480" w:hanging="360"/>
      </w:pPr>
    </w:lvl>
  </w:abstractNum>
  <w:abstractNum w:abstractNumId="1">
    <w:nsid w:val="28810B4F"/>
    <w:multiLevelType w:val="hybridMultilevel"/>
    <w:tmpl w:val="ED5217DE"/>
    <w:lvl w:ilvl="0" w:tplc="EEB89166">
      <w:start w:val="1"/>
      <w:numFmt w:val="upperLetter"/>
      <w:lvlText w:val="%1."/>
      <w:lvlJc w:val="left"/>
      <w:pPr>
        <w:ind w:left="720" w:hanging="360"/>
      </w:pPr>
    </w:lvl>
    <w:lvl w:ilvl="1" w:tplc="771A9B6C">
      <w:numFmt w:val="decimal"/>
      <w:lvlText w:val=""/>
      <w:lvlJc w:val="left"/>
    </w:lvl>
    <w:lvl w:ilvl="2" w:tplc="2E56252A">
      <w:numFmt w:val="decimal"/>
      <w:lvlText w:val=""/>
      <w:lvlJc w:val="left"/>
    </w:lvl>
    <w:lvl w:ilvl="3" w:tplc="0890D362">
      <w:numFmt w:val="decimal"/>
      <w:lvlText w:val=""/>
      <w:lvlJc w:val="left"/>
    </w:lvl>
    <w:lvl w:ilvl="4" w:tplc="E08269BA">
      <w:numFmt w:val="decimal"/>
      <w:lvlText w:val=""/>
      <w:lvlJc w:val="left"/>
    </w:lvl>
    <w:lvl w:ilvl="5" w:tplc="90C8C4DA">
      <w:numFmt w:val="decimal"/>
      <w:lvlText w:val=""/>
      <w:lvlJc w:val="left"/>
    </w:lvl>
    <w:lvl w:ilvl="6" w:tplc="6AE2CA90">
      <w:numFmt w:val="decimal"/>
      <w:lvlText w:val=""/>
      <w:lvlJc w:val="left"/>
    </w:lvl>
    <w:lvl w:ilvl="7" w:tplc="71F077E8">
      <w:numFmt w:val="decimal"/>
      <w:lvlText w:val=""/>
      <w:lvlJc w:val="left"/>
    </w:lvl>
    <w:lvl w:ilvl="8" w:tplc="8956253E">
      <w:numFmt w:val="decimal"/>
      <w:lvlText w:val=""/>
      <w:lvlJc w:val="left"/>
    </w:lvl>
  </w:abstractNum>
  <w:abstractNum w:abstractNumId="2">
    <w:nsid w:val="3A3541B1"/>
    <w:multiLevelType w:val="hybridMultilevel"/>
    <w:tmpl w:val="D3F0594C"/>
    <w:lvl w:ilvl="0" w:tplc="47785684">
      <w:start w:val="1"/>
      <w:numFmt w:val="decimal"/>
      <w:lvlText w:val="%1."/>
      <w:lvlJc w:val="left"/>
      <w:pPr>
        <w:ind w:left="720" w:hanging="360"/>
      </w:pPr>
    </w:lvl>
    <w:lvl w:ilvl="1" w:tplc="A0821AF8">
      <w:numFmt w:val="decimal"/>
      <w:lvlText w:val=""/>
      <w:lvlJc w:val="left"/>
    </w:lvl>
    <w:lvl w:ilvl="2" w:tplc="00E0EA72">
      <w:numFmt w:val="decimal"/>
      <w:lvlText w:val=""/>
      <w:lvlJc w:val="left"/>
    </w:lvl>
    <w:lvl w:ilvl="3" w:tplc="ADBA29A0">
      <w:numFmt w:val="decimal"/>
      <w:lvlText w:val=""/>
      <w:lvlJc w:val="left"/>
    </w:lvl>
    <w:lvl w:ilvl="4" w:tplc="4AE8F2FA">
      <w:numFmt w:val="decimal"/>
      <w:lvlText w:val=""/>
      <w:lvlJc w:val="left"/>
    </w:lvl>
    <w:lvl w:ilvl="5" w:tplc="16B68678">
      <w:numFmt w:val="decimal"/>
      <w:lvlText w:val=""/>
      <w:lvlJc w:val="left"/>
    </w:lvl>
    <w:lvl w:ilvl="6" w:tplc="217A9050">
      <w:numFmt w:val="decimal"/>
      <w:lvlText w:val=""/>
      <w:lvlJc w:val="left"/>
    </w:lvl>
    <w:lvl w:ilvl="7" w:tplc="ED962260">
      <w:numFmt w:val="decimal"/>
      <w:lvlText w:val=""/>
      <w:lvlJc w:val="left"/>
    </w:lvl>
    <w:lvl w:ilvl="8" w:tplc="3E58224E">
      <w:numFmt w:val="decimal"/>
      <w:lvlText w:val=""/>
      <w:lvlJc w:val="left"/>
    </w:lvl>
  </w:abstractNum>
  <w:abstractNum w:abstractNumId="3">
    <w:nsid w:val="774A2722"/>
    <w:multiLevelType w:val="hybridMultilevel"/>
    <w:tmpl w:val="01E85D80"/>
    <w:lvl w:ilvl="0" w:tplc="57889952">
      <w:start w:val="1"/>
      <w:numFmt w:val="bullet"/>
      <w:lvlText w:val="•"/>
      <w:lvlJc w:val="left"/>
      <w:pPr>
        <w:ind w:left="720" w:hanging="360"/>
      </w:pPr>
    </w:lvl>
    <w:lvl w:ilvl="1" w:tplc="6F44ED1E">
      <w:numFmt w:val="decimal"/>
      <w:lvlText w:val=""/>
      <w:lvlJc w:val="left"/>
    </w:lvl>
    <w:lvl w:ilvl="2" w:tplc="2A9E775C">
      <w:numFmt w:val="decimal"/>
      <w:lvlText w:val=""/>
      <w:lvlJc w:val="left"/>
    </w:lvl>
    <w:lvl w:ilvl="3" w:tplc="8EB08B34">
      <w:numFmt w:val="decimal"/>
      <w:lvlText w:val=""/>
      <w:lvlJc w:val="left"/>
    </w:lvl>
    <w:lvl w:ilvl="4" w:tplc="EF308836">
      <w:numFmt w:val="decimal"/>
      <w:lvlText w:val=""/>
      <w:lvlJc w:val="left"/>
    </w:lvl>
    <w:lvl w:ilvl="5" w:tplc="E7846770">
      <w:numFmt w:val="decimal"/>
      <w:lvlText w:val=""/>
      <w:lvlJc w:val="left"/>
    </w:lvl>
    <w:lvl w:ilvl="6" w:tplc="A54A88AE">
      <w:numFmt w:val="decimal"/>
      <w:lvlText w:val=""/>
      <w:lvlJc w:val="left"/>
    </w:lvl>
    <w:lvl w:ilvl="7" w:tplc="EB026424">
      <w:numFmt w:val="decimal"/>
      <w:lvlText w:val=""/>
      <w:lvlJc w:val="left"/>
    </w:lvl>
    <w:lvl w:ilvl="8" w:tplc="38848E8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8446FD"/>
    <w:rsid w:val="00251B8D"/>
    <w:rsid w:val="003D75FE"/>
    <w:rsid w:val="008446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qFormat/>
    <w:pPr>
      <w:spacing w:before="360" w:after="180"/>
      <w:outlineLvl w:val="0"/>
    </w:pPr>
    <w:rPr>
      <w:b/>
      <w:bCs/>
      <w:color w:val="1B3A5C"/>
      <w:sz w:val="34"/>
      <w:szCs w:val="34"/>
    </w:rPr>
  </w:style>
  <w:style w:type="paragraph" w:styleId="Balk2">
    <w:name w:val="heading 2"/>
    <w:qFormat/>
    <w:pPr>
      <w:spacing w:before="280" w:after="140"/>
      <w:outlineLvl w:val="1"/>
    </w:pPr>
    <w:rPr>
      <w:b/>
      <w:bCs/>
      <w:color w:val="2C6E9E"/>
      <w:sz w:val="26"/>
      <w:szCs w:val="26"/>
    </w:rPr>
  </w:style>
  <w:style w:type="paragraph" w:styleId="Balk3">
    <w:name w:val="heading 3"/>
    <w:qFormat/>
    <w:pPr>
      <w:spacing w:before="200" w:after="100"/>
      <w:outlineLvl w:val="2"/>
    </w:pPr>
    <w:rPr>
      <w:b/>
      <w:bCs/>
      <w:color w:val="1A7A8A"/>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qFormat/>
    <w:pPr>
      <w:spacing w:before="360" w:after="180"/>
      <w:outlineLvl w:val="0"/>
    </w:pPr>
    <w:rPr>
      <w:b/>
      <w:bCs/>
      <w:color w:val="1B3A5C"/>
      <w:sz w:val="34"/>
      <w:szCs w:val="34"/>
    </w:rPr>
  </w:style>
  <w:style w:type="paragraph" w:styleId="Balk2">
    <w:name w:val="heading 2"/>
    <w:qFormat/>
    <w:pPr>
      <w:spacing w:before="280" w:after="140"/>
      <w:outlineLvl w:val="1"/>
    </w:pPr>
    <w:rPr>
      <w:b/>
      <w:bCs/>
      <w:color w:val="2C6E9E"/>
      <w:sz w:val="26"/>
      <w:szCs w:val="26"/>
    </w:rPr>
  </w:style>
  <w:style w:type="paragraph" w:styleId="Balk3">
    <w:name w:val="heading 3"/>
    <w:qFormat/>
    <w:pPr>
      <w:spacing w:before="200" w:after="100"/>
      <w:outlineLvl w:val="2"/>
    </w:pPr>
    <w:rPr>
      <w:b/>
      <w:bCs/>
      <w:color w:val="1A7A8A"/>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24</Pages>
  <Words>5557</Words>
  <Characters>31681</Characters>
  <Application>Microsoft Office Word</Application>
  <DocSecurity>0</DocSecurity>
  <Lines>264</Lines>
  <Paragraphs>74</Paragraphs>
  <ScaleCrop>false</ScaleCrop>
  <Company/>
  <LinksUpToDate>false</LinksUpToDate>
  <CharactersWithSpaces>37164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Beyza</cp:lastModifiedBy>
  <cp:revision>2</cp:revision>
  <dcterms:created xsi:type="dcterms:W3CDTF">2026-06-16T06:53:00Z</dcterms:created>
  <dcterms:modified xsi:type="dcterms:W3CDTF">2026-06-17T02:21:00Z</dcterms:modified>
</cp:coreProperties>
</file>