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Bilirkişi Raporu</w:t>
        <w:br/>
        <w:br/>
        <w:t>Uyuşmazlık Konusu: Trafik DK</w:t>
        <w:br/>
        <w:t>Sigortalı araç plakası: 13 AA 123</w:t>
        <w:br/>
        <w:t>Başvurucuya ait araç plakası: 34 SS 2334</w:t>
        <w:br/>
        <w:t>Kaza tarihi: 04/11/2023</w:t>
        <w:br/>
        <w:br/>
        <w:t>Sigorta Tahkim Komisyon Başkanlığı tarafından Heyetimize intikal ettirilen uyuşmazlık, davalı sigorta kuruluşuna zorunlu mali sorumluluk sigortalı "13 AA 123" plakalı araç ile başvurucuya ait "34 SS 2334" plakalı araç arasında "04/11/2023" tarihinde gerçekleşen trafik kazası sonucu başvurucuya ait araçta oluşan değer kaybı tutarının tazmini amacıyla Komisyona yapılan başvuruda Uyuşmazlık Hakemince verilen Karara davalı sigorta kuruluşunun itirazlarına ilişkindir.</w:t>
        <w:br/>
        <w:br/>
        <w:t>İnceleme süresi: Doğrudan hüküm</w:t>
        <w:br/>
        <w:br/>
        <w:t>Uyuşmazlık Hakemi Kararına davalı sigorta kuruluşu vekilinin itirazları Komisyon nezdinde öncelikle İtiraz Yetkilisi tarafından incelenmiş ve itirazın süresinde ve usulüne uygun şekilde yapıldığı tespit edildiğinden, davalının itirazlarının değerlendirilmesi ve uyuşmazlığın çözümü için dosya İtiraz Hakem Heyetimize intikal ettirilmiştir.</w:t>
        <w:br/>
        <w:br/>
        <w:t>Heyetimizce yapılan incelemede, dosyada mevcut bilgi ve delillerin uyuşmazlık ve itirazlar konusunda bir kanaate ulaşabilmek için yeterli olduğu kanaatine ulaşılmış ve doğrudan hüküm kurulması yoluna gidilmiştir.</w:t>
        <w:br/>
        <w:br/>
        <w:t>Heyetimizce davalı vekilinin itirazlarına ilişkin olarak karara varılmış ve yargılamaya son verilmiştir.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