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440"/>
        <w:gridCol w:w="8764"/>
      </w:tblGrid>
      <w:tr>
        <w:tc>
          <w:tcPr>
            <w:tcW w:type="dxa" w:w="1440"/>
            <w:tcBorders>
              <w:top w:val="none" w:color="FFFFFF" w:sz="0"/>
              <w:left w:val="none" w:color="FFFFFF" w:sz="0"/>
              <w:bottom w:val="none" w:color="FFFFFF" w:sz="0"/>
              <w:right w:val="none" w:color="FFFFFF" w:sz="0"/>
            </w:tcBorders>
            <w:shd w:fill="2E5F8A" w:val="clear"/>
            <w:tcMar>
              <w:top w:type="dxa" w:w="0"/>
              <w:left w:type="dxa" w:w="0"/>
              <w:bottom w:type="dxa" w:w="0"/>
              <w:right w:type="dxa" w:w="160"/>
            </w:tcMar>
            <w:vAlign w:val="center"/>
          </w:tcPr>
          <w:p>
            <w:pPr>
              <w:jc w:val="center"/>
            </w:pPr>
            <w:r>
              <w:rPr>
                <w:rFonts w:ascii="Arial" w:cs="Arial" w:eastAsia="Arial" w:hAnsi="Arial"/>
                <w:b/>
                <w:bCs/>
                <w:color w:val="FFFFFF"/>
                <w:sz w:val="80"/>
                <w:szCs w:val="80"/>
              </w:rPr>
              <w:t xml:space="preserve">★</w:t>
            </w:r>
          </w:p>
        </w:tc>
        <w:tc>
          <w:tcPr>
            <w:tcW w:type="dxa" w:w="8764"/>
            <w:tcBorders>
              <w:top w:val="none" w:color="FFFFFF" w:sz="0"/>
              <w:left w:val="none" w:color="FFFFFF" w:sz="0"/>
              <w:bottom w:val="none" w:color="FFFFFF" w:sz="0"/>
              <w:right w:val="none" w:color="FFFFFF" w:sz="0"/>
            </w:tcBorders>
            <w:tcMar>
              <w:top w:type="dxa" w:w="0"/>
              <w:left w:type="dxa" w:w="120"/>
              <w:bottom w:type="dxa" w:w="0"/>
              <w:right w:type="dxa" w:w="0"/>
            </w:tcMar>
          </w:tcPr>
          <w:p>
            <w:pPr>
              <w:spacing w:after="40" w:before="0"/>
            </w:pPr>
            <w:r>
              <w:rPr>
                <w:rFonts w:ascii="Arial" w:cs="Arial" w:eastAsia="Arial" w:hAnsi="Arial"/>
                <w:b/>
                <w:bCs/>
                <w:color w:val="1F3864"/>
                <w:sz w:val="44"/>
                <w:szCs w:val="44"/>
              </w:rPr>
              <w:t xml:space="preserve">MISSIONS DES AMBULANCIERS</w:t>
            </w:r>
          </w:p>
          <w:p>
            <w:pPr>
              <w:spacing w:after="40" w:before="0"/>
            </w:pPr>
            <w:r>
              <w:rPr>
                <w:rFonts w:ascii="Arial" w:cs="Arial" w:eastAsia="Arial" w:hAnsi="Arial"/>
                <w:b/>
                <w:bCs/>
                <w:color w:val="1F3864"/>
                <w:sz w:val="26"/>
                <w:szCs w:val="26"/>
              </w:rPr>
              <w:t xml:space="preserve">Référentiel DEA 2022/2024 vs. Pratique réelle</w:t>
            </w:r>
          </w:p>
          <w:p>
            <w:pPr>
              <w:spacing w:after="20" w:before="0"/>
            </w:pPr>
            <w:r>
              <w:rPr>
                <w:rFonts w:ascii="Arial" w:cs="Arial" w:eastAsia="Arial" w:hAnsi="Arial"/>
                <w:color w:val="595959"/>
                <w:sz w:val="20"/>
                <w:szCs w:val="20"/>
              </w:rPr>
              <w:t xml:space="preserve">CHU de Toulouse · Établissements psychiatriques · SMUR</w:t>
            </w:r>
          </w:p>
          <w:p>
            <w:pPr>
              <w:spacing w:after="0" w:before="0"/>
            </w:pPr>
            <w:r>
              <w:rPr>
                <w:rFonts w:ascii="Arial" w:cs="Arial" w:eastAsia="Arial" w:hAnsi="Arial"/>
                <w:i/>
                <w:iCs/>
                <w:color w:val="595959"/>
                <w:sz w:val="18"/>
                <w:szCs w:val="18"/>
              </w:rPr>
              <w:t xml:space="preserve">Document CGT / SUD · Mise à jour 27 juin 2026 · Intégration périmètre SMUR (AFASH 02/2026)</w:t>
            </w:r>
          </w:p>
        </w:tc>
      </w:tr>
    </w:tbl>
    <w:p>
      <w:pPr>
        <w:pBdr>
          <w:bottom w:val="single" w:color="C0392B" w:sz="12"/>
        </w:pBdr>
        <w:spacing w:after="0" w:before="0"/>
      </w:pPr>
    </w:p>
    <w:p>
      <w:pPr>
        <w:spacing w:after="0" w:before="3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F5F5F5" w:val="clear"/>
            <w:tcMar>
              <w:top w:type="dxa" w:w="100"/>
              <w:left w:type="dxa" w:w="160"/>
              <w:bottom w:type="dxa" w:w="100"/>
              <w:right w:type="dxa" w:w="160"/>
            </w:tcMar>
          </w:tcPr>
          <w:p>
            <w:pPr>
              <w:spacing w:after="40" w:before="0"/>
            </w:pPr>
            <w:r>
              <w:rPr>
                <w:rFonts w:ascii="Arial" w:cs="Arial" w:eastAsia="Arial" w:hAnsi="Arial"/>
                <w:b/>
                <w:bCs/>
                <w:sz w:val="18"/>
                <w:szCs w:val="18"/>
              </w:rPr>
              <w:t xml:space="preserve">Contenu du document — </w:t>
            </w:r>
            <w:r>
              <w:rPr>
                <w:rFonts w:ascii="Arial" w:cs="Arial" w:eastAsia="Arial" w:hAnsi="Arial"/>
                <w:sz w:val="18"/>
                <w:szCs w:val="18"/>
              </w:rPr>
              <w:t xml:space="preserve">Ce document compare le référentiel officiel du DEA (arrêté du 11 avril 2022, modifié le 4 juillet 2024) et le décret n° 2022-629 du 22 avril 2022 avec les missions réellement exercées par les ambulanciers au CHU de Toulouse, dans les établissements psychiatriques autonomes (ex. Hôpital Marchant) et au sein des équipes SMUR.</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F5F5F5" w:val="clear"/>
            <w:tcMar>
              <w:top w:type="dxa" w:w="100"/>
              <w:left w:type="dxa" w:w="160"/>
              <w:bottom w:type="dxa" w:w="100"/>
              <w:right w:type="dxa" w:w="160"/>
            </w:tcMar>
          </w:tcPr>
          <w:p>
            <w:pPr>
              <w:spacing w:after="40" w:before="0"/>
            </w:pPr>
            <w:r>
              <w:rPr>
                <w:rFonts w:ascii="Arial" w:cs="Arial" w:eastAsia="Arial" w:hAnsi="Arial"/>
                <w:b/>
                <w:bCs/>
                <w:sz w:val="18"/>
                <w:szCs w:val="18"/>
              </w:rPr>
              <w:t xml:space="preserve">Mise à jour du 27 juin 2026 — Intégration du périmètre SMUR — </w:t>
            </w:r>
            <w:r>
              <w:rPr>
                <w:rFonts w:ascii="Arial" w:cs="Arial" w:eastAsia="Arial" w:hAnsi="Arial"/>
                <w:sz w:val="18"/>
                <w:szCs w:val="18"/>
              </w:rPr>
              <w:t xml:space="preserve">Cette version intègre les données du dossier AFASH (version 02/2026) sur les 12 compétences spécifiques exercées par l’ambulancier SMUR sans cadre de formation ni reconnaissance RNCP. Un nouveau tableau 2F et un tableau de synthèse global (Partie 3) ont été ajoutés.</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F5F5F5" w:val="clear"/>
            <w:tcMar>
              <w:top w:type="dxa" w:w="100"/>
              <w:left w:type="dxa" w:w="160"/>
              <w:bottom w:type="dxa" w:w="100"/>
              <w:right w:type="dxa" w:w="160"/>
            </w:tcMar>
          </w:tcPr>
          <w:p>
            <w:pPr>
              <w:spacing w:after="40" w:before="0"/>
            </w:pPr>
            <w:r>
              <w:rPr>
                <w:rFonts w:ascii="Arial" w:cs="Arial" w:eastAsia="Arial" w:hAnsi="Arial"/>
                <w:b/>
                <w:bCs/>
                <w:sz w:val="18"/>
                <w:szCs w:val="18"/>
              </w:rPr>
              <w:t xml:space="preserve">Résultat clé — </w:t>
            </w:r>
            <w:r>
              <w:rPr>
                <w:rFonts w:ascii="Arial" w:cs="Arial" w:eastAsia="Arial" w:hAnsi="Arial"/>
                <w:sz w:val="18"/>
                <w:szCs w:val="18"/>
              </w:rPr>
              <w:t xml:space="preserve">Sur 32 missions recensées, 24 sortent du périmètre DEA/décret 2022-629 (75 %). Le cœur de l’activité SMUR — assistance aux gestes de réanimation, damage control, gestion de scène, coordination en SSE — repose sur des compétences exercées sans aucune reconnaissance ni cadre de formation national.</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40"/>
      </w:pPr>
      <w:r>
        <w:rPr>
          <w:rFonts w:ascii="Arial" w:cs="Arial" w:eastAsia="Arial" w:hAnsi="Arial"/>
          <w:sz w:val="19"/>
          <w:szCs w:val="19"/>
        </w:rPr>
        <w:t xml:space="preserve"/>
      </w:r>
    </w:p>
    <w:p>
      <w:pPr>
        <w:spacing w:after="0" w:before="0"/>
        <w:jc w:val="both"/>
      </w:pPr>
      <w:r>
        <w:rPr>
          <w:rFonts w:ascii="Arial" w:cs="Arial" w:eastAsia="Arial" w:hAnsi="Arial"/>
          <w:i/>
          <w:iCs/>
          <w:color w:val="595959"/>
          <w:sz w:val="17"/>
          <w:szCs w:val="17"/>
        </w:rPr>
        <w:t xml:space="preserve">Expéditeurs : CGT / SUD Santé Sociaux — CHU de Toulouse, Service Transport Patients — Julien TERRE · Sébastien GOUSSY (CGT) · Victor ALAVA (SUD) · Laurent BEZIA · Jérôme JEAN-CHARLES (représentants du personnel ambulancier)</w:t>
      </w:r>
    </w:p>
    <w:p>
      <w:pPr>
        <w:spacing w:after="0" w:before="2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PARTIE 1 —  CE QUE PRÉVOIT LE RÉFÉRENTIEL OFFICIEL</w:t>
            </w:r>
          </w:p>
          <w:p>
            <w:pPr>
              <w:spacing w:after="0" w:before="0"/>
            </w:pPr>
            <w:r>
              <w:rPr>
                <w:rFonts w:ascii="Arial" w:cs="Arial" w:eastAsia="Arial" w:hAnsi="Arial"/>
                <w:i/>
                <w:iCs/>
                <w:color w:val="AACCEE"/>
                <w:sz w:val="18"/>
                <w:szCs w:val="18"/>
              </w:rPr>
              <w:t xml:space="preserve">DEA — Arrêté du 11 avril 2022, modifié le 4 juillet 2024</w:t>
            </w:r>
          </w:p>
        </w:tc>
      </w:tr>
    </w:tbl>
    <w:p>
      <w:pPr>
        <w:spacing w:after="0" w:before="8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L’ambulancier est un professionnel de santé et du transport sanitaire. Au sein de la chaîne de soins, il assure la prise en soin et/ou le transport de patients à tout âge de la vie sur prescription médicale, ou dans le cadre de l’aide médicale urgente, au moyen de véhicules de transport sanitaire équipés et adaptés à la situation et à l’état de santé du patient.</w:t>
      </w:r>
    </w:p>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6"/>
              <w:left w:val="single" w:color="2E5F8A" w:sz="6"/>
              <w:bottom w:val="single" w:color="2E5F8A" w:sz="6"/>
              <w:right w:val="single" w:color="2E5F8A" w:sz="6"/>
            </w:tcBorders>
            <w:shd w:fill="EAF2FB" w:val="clear"/>
            <w:tcMar>
              <w:top w:type="dxa" w:w="100"/>
              <w:left w:type="dxa" w:w="160"/>
              <w:bottom w:type="dxa" w:w="100"/>
              <w:right w:type="dxa" w:w="160"/>
            </w:tcMar>
          </w:tcPr>
          <w:p>
            <w:pPr>
              <w:spacing w:after="60" w:before="0"/>
            </w:pPr>
            <w:r>
              <w:rPr>
                <w:rFonts w:ascii="Arial" w:cs="Arial" w:eastAsia="Arial" w:hAnsi="Arial"/>
                <w:b/>
                <w:bCs/>
                <w:color w:val="1F3864"/>
                <w:sz w:val="19"/>
                <w:szCs w:val="19"/>
              </w:rPr>
              <w:t xml:space="preserve">Les 5 blocs de compétences du DEA — Volume horaire total : ~801 heures</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00"/>
              <w:gridCol w:w="7600"/>
              <w:gridCol w:w="1600"/>
            </w:tblGrid>
            <w:tr>
              <w:tc>
                <w:tcPr>
                  <w:tcW w:type="dxa" w:w="1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Bloc</w:t>
                  </w:r>
                </w:p>
              </w:tc>
              <w:tc>
                <w:tcPr>
                  <w:tcW w:type="dxa" w:w="7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Intitulé</w:t>
                  </w:r>
                </w:p>
              </w:tc>
              <w:tc>
                <w:tcPr>
                  <w:tcW w:type="dxa" w:w="1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horaire</w:t>
                  </w:r>
                </w:p>
              </w:tc>
            </w:tr>
            <w:tr>
              <w:tc>
                <w:tcPr>
                  <w:tcW w:type="dxa" w:w="1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1</w:t>
                  </w:r>
                </w:p>
              </w:tc>
              <w:tc>
                <w:tcPr>
                  <w:tcW w:type="dxa" w:w="7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Prise en soin du patient à tout âge de la vie (accueil, soins d’hygiène, accompagnement, souffrance psychologique)</w:t>
                  </w:r>
                </w:p>
              </w:tc>
              <w:tc>
                <w:tcPr>
                  <w:tcW w:type="dxa" w:w="1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175 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2</w:t>
                  </w:r>
                </w:p>
              </w:tc>
              <w:tc>
                <w:tcPr>
                  <w:tcW w:type="dxa" w:w="7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Recueil de données cliniques et soins d’urgence (constantes, signes d’alerte, soins adaptés en urgence)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210 h</w:t>
                  </w:r>
                </w:p>
              </w:tc>
            </w:tr>
            <w:tr>
              <w:tc>
                <w:tcPr>
                  <w:tcW w:type="dxa" w:w="1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3</w:t>
                  </w:r>
                </w:p>
              </w:tc>
              <w:tc>
                <w:tcPr>
                  <w:tcW w:type="dxa" w:w="7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 du patient (conduite, itinéraire, sécurité routière)</w:t>
                  </w:r>
                </w:p>
              </w:tc>
              <w:tc>
                <w:tcPr>
                  <w:tcW w:type="dxa" w:w="1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28 h</w:t>
                  </w:r>
                </w:p>
              </w:tc>
            </w:tr>
            <w:tr>
              <w:tc>
                <w:tcPr>
                  <w:tcW w:type="dxa" w:w="1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4</w:t>
                  </w:r>
                </w:p>
              </w:tc>
              <w:tc>
                <w:tcPr>
                  <w:tcW w:type="dxa" w:w="7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Entretien des matériels et installations du véhicule</w:t>
                  </w:r>
                </w:p>
              </w:tc>
              <w:tc>
                <w:tcPr>
                  <w:tcW w:type="dxa" w:w="1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n.p.</w:t>
                  </w:r>
                </w:p>
              </w:tc>
            </w:tr>
            <w:tr>
              <w:tc>
                <w:tcPr>
                  <w:tcW w:type="dxa" w:w="1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5</w:t>
                  </w:r>
                </w:p>
              </w:tc>
              <w:tc>
                <w:tcPr>
                  <w:tcW w:type="dxa" w:w="7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Travail en équipe et traitement des informations (traçabilité, dossier patient, transmissions)</w:t>
                  </w:r>
                </w:p>
              </w:tc>
              <w:tc>
                <w:tcPr>
                  <w:tcW w:type="dxa" w:w="1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n.p.</w:t>
                  </w:r>
                </w:p>
              </w:tc>
            </w:tr>
          </w:tbl>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6"/>
              <w:left w:val="single" w:color="2E5F8A" w:sz="6"/>
              <w:bottom w:val="single" w:color="2E5F8A" w:sz="6"/>
              <w:right w:val="single" w:color="2E5F8A" w:sz="6"/>
            </w:tcBorders>
            <w:shd w:fill="EAF2FB" w:val="clear"/>
            <w:tcMar>
              <w:top w:type="dxa" w:w="100"/>
              <w:left w:type="dxa" w:w="160"/>
              <w:bottom w:type="dxa" w:w="100"/>
              <w:right w:type="dxa" w:w="160"/>
            </w:tcMar>
          </w:tcPr>
          <w:p>
            <w:pPr>
              <w:spacing w:after="60" w:before="0"/>
            </w:pPr>
            <w:r>
              <w:rPr>
                <w:rFonts w:ascii="Arial" w:cs="Arial" w:eastAsia="Arial" w:hAnsi="Arial"/>
                <w:b/>
                <w:bCs/>
                <w:color w:val="1F3864"/>
                <w:sz w:val="19"/>
                <w:szCs w:val="19"/>
              </w:rPr>
              <w:t xml:space="preserve">Actes professionnels élargis en AMU — Décret n° 2022-629 du 22 avril 2022</w:t>
            </w:r>
          </w:p>
          <w:p>
            <w:pPr>
              <w:spacing w:after="60" w:before="60"/>
              <w:jc w:val="both"/>
            </w:pPr>
            <w:r>
              <w:rPr>
                <w:rFonts w:ascii="Arial" w:cs="Arial" w:eastAsia="Arial" w:hAnsi="Arial"/>
                <w:sz w:val="19"/>
                <w:szCs w:val="19"/>
              </w:rPr>
              <w:t xml:space="preserve">Ce décret marque un tournant : de « simple conducteur-secouriste », l’ambulancier devient un professionnel de santé capable d’assister techniquement le médecin ou l’infirmier dans les actes d’aide médicale urgente.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200"/>
              <w:gridCol w:w="70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7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Actes autorisés</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À l’initiative de l’ambulancier (sous régulation médicale)</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Prise de température, pulsations cardiaques, pression artérielle (non invasive) · Recueil de la glycémie par captation capillaire · Administration en aérosols de produits non médicamenteux · Évaluation de la douleur · Observation de l’état de conscience · Recueil du taux de SpO2 ou de CO (non invasif)</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Sur prescription du médecin régulateur</w:t>
                  </w:r>
                </w:p>
              </w:tc>
              <w:tc>
                <w:tcPr>
                  <w:tcW w:type="dxa" w:w="7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Administration en aérosols/pulvérisation de produits médicamenteux (asthme, douleur) · Administration par voie orale ou intra-nasale (overdose d’opioasés, douleur aiguë) · Administration par stylo auto-injecteur (choc anaphylactique, hypoglycémie) · Enregistrement et transmission d’un ECG à visée diagnostique</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FAE SMUR (FPH)</w:t>
                  </w:r>
                </w:p>
              </w:tc>
              <w:tc>
                <w:tcPr>
                  <w:tcW w:type="dxa" w:w="7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i/>
                      <w:iCs/>
                      <w:sz w:val="18"/>
                      <w:szCs w:val="18"/>
                    </w:rPr>
                    <w:t xml:space="preserve">175 heures (5 semaines) — Formation d’adaptation à l’emploi obligatoire pour tout ambulancier hospitalier affecté en SMUR. Non diplômante, hors RNCP.</w:t>
                  </w:r>
                </w:p>
              </w:tc>
            </w:tr>
          </w:tbl>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PARTIE 2 —  CE QUE RÉALISENT RÉELLEMENT LES AMBULANCIERS</w:t>
            </w:r>
          </w:p>
          <w:p>
            <w:pPr>
              <w:spacing w:after="0" w:before="0"/>
            </w:pPr>
            <w:r>
              <w:rPr>
                <w:rFonts w:ascii="Arial" w:cs="Arial" w:eastAsia="Arial" w:hAnsi="Arial"/>
                <w:i/>
                <w:iCs/>
                <w:color w:val="AACCEE"/>
                <w:sz w:val="18"/>
                <w:szCs w:val="18"/>
              </w:rPr>
              <w:t xml:space="preserve">CHU de Toulouse · Établissements psychiatriques autonomes · SMUR</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2A — Missions couvertes (partiellement) par le DEA socle — CHU de Toulouse</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200"/>
        <w:gridCol w:w="2000"/>
        <w:gridCol w:w="3000"/>
      </w:tblGrid>
      <w:tr>
        <w:tc>
          <w:tcPr>
            <w:tcW w:type="dxa" w:w="5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Bloc DEA</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Remarque</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 programmé sur prescription médicale (56 843 transports en 2025)</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3</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Cœur de métier du référentiel</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Recueil de constantes et surveillance clinique en cours de trajet</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Soins de confort et d’hygiène de base lors du transport</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1</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Conduite du véhicule sanitaire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Traçabilité / dossier patient</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5</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Actes AMU (ECG, glycémie, O2, SpO2…)</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Décret 2022-629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 depuis 2022/2023</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i/>
                <w:iCs/>
                <w:sz w:val="18"/>
                <w:szCs w:val="18"/>
              </w:rPr>
              <w:t xml:space="preserve">FAE SMUR — urgences préhospitalières (ambulanciers SMUR uniquement)</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i/>
                <w:iCs/>
                <w:sz w:val="18"/>
                <w:szCs w:val="18"/>
              </w:rPr>
              <w:t xml:space="preserve">Formation complémentaire</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C0392B"/>
                <w:sz w:val="18"/>
                <w:szCs w:val="18"/>
              </w:rPr>
              <w:t xml:space="preserve">175 h — obligatoire SMUR — non diplômante, hors RNCP</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2B — Missions réalisées HORS référentiel DEA — CHU de Toulouse</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5000"/>
      </w:tblGrid>
      <w:tr>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 / Contexte</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Volume / Données chiffrées</w:t>
            </w:r>
          </w:p>
        </w:tc>
        <w:tc>
          <w:tcPr>
            <w:tcW w:type="dxa" w:w="5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Lacune de formation identifiée</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1. Transports psychiatriques sous contrainte (HSC, HDT)</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3 751 transports en 2025</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Pas de formation au cadre légal de la contrainte, ni à la désescalade verbale, ni aux protocoles d’alerte. Aucun des trois stages DEA obligatoires ne comporte de stage dédié en établissement psychiatrique. Risque renforcé par l’objectif national « zéro contention 2030 ».</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2. Transports pénitentiaires (UHSI)</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Conduite sous escorte Police Nationale</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sur la sécurité en milieu pénitentiaire, les protocoles IRIS ou la coordination avec l’administration pénitentiaire.</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3. Patients fragiles et à risque infectieux élevé : Soins palliatifs · Médecine nucléaire · Médecine infectieuse / aplasie / greffés · Sorties de bloc / réanimation</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Périmètre élargi — saisine ministérielle du 24 juin 2026</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Soins palliatifs : accompagnement fin de vie, gestion de l’entourage · Médecine nucléaire : radioprotection, manipulation patients radioactifs · Infectieux/aplasie/greffés : isolement protecteur, asepsie renforcée · Sorties de bloc/réa : drains, sondes, perfusions, pousse-seringues — aucune formation dédiée.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4. Transports de produits sanguins labiles (PSL) — CHU de Caen Normandie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Constat intersyndicale 2026 ; transports de CGR, plaquettes, PFC effectués hors cadre DEA</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bloc de compétences du DEA ne couvre les exigences de la chaîne du froid (arrêté du 10 septembre 2007), la traçabilité transfusionnelle obligatoire (feuille de suivi, concordances groupe/rhésus, bon de délivrance nominatif) ni la gestion des incidents de transport (rupture de chaîne du froid, défaillance du container isotherme). Responsabilité civile et pénale engagée sans couverture formatrice ni délégation formalisée — angle recevable par la DGOS et dans le cadre de la certification HAS.</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5. Transports mortuaires nocturnes</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Intervention souvent en solo</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Cadre réglementaire spécifique, posture relationnelle face aux familles endeuillées. Aucun module dédié, aucune procédure définie.</w:t>
            </w:r>
          </w:p>
        </w:tc>
      </w:tr>
      <w:tr>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6. Plans Blancs / médecine de catastrophe</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Mobilisation pour pallier les déficits SAMU</w:t>
            </w:r>
          </w:p>
        </w:tc>
        <w:tc>
          <w:tcPr>
            <w:tcW w:type="dxa" w:w="5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Aucune équivalence avec la formation des équipes SAMU. Hors périmètre DEA.</w:t>
            </w:r>
          </w:p>
        </w:tc>
      </w:tr>
      <w:tr>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7. Dépannage de premier niveau du matériel (outillé)</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Intégrée dans la fiche de poste (proposition Direction)</w:t>
            </w:r>
          </w:p>
        </w:tc>
        <w:tc>
          <w:tcPr>
            <w:tcW w:type="dxa" w:w="5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Le Bloc 4 couvre l’entretien courant et le signalement des anomalies ; seuls les gestes de dépannage outillé restent hors référentiel.</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2C — Missions des ambulanciers en établissement psychiatrique autonome</w:t>
            </w:r>
          </w:p>
        </w:tc>
      </w:tr>
    </w:tbl>
    <w:p>
      <w:pPr>
        <w:spacing w:after="0" w:before="40"/>
      </w:pPr>
      <w:r>
        <w:rPr>
          <w:rFonts w:ascii="Arial" w:cs="Arial" w:eastAsia="Arial" w:hAnsi="Arial"/>
          <w:sz w:val="19"/>
          <w:szCs w:val="19"/>
        </w:rPr>
        <w:t xml:space="preserve"/>
      </w:r>
    </w:p>
    <w:p>
      <w:pPr>
        <w:spacing w:after="60" w:before="0"/>
        <w:jc w:val="both"/>
      </w:pPr>
      <w:r>
        <w:rPr>
          <w:rFonts w:ascii="Arial" w:cs="Arial" w:eastAsia="Arial" w:hAnsi="Arial"/>
          <w:b/>
          <w:bCs/>
          <w:sz w:val="19"/>
          <w:szCs w:val="19"/>
        </w:rPr>
        <w:t xml:space="preserve">Exemple : Hôpital Marchant, Toulouse.</w:t>
      </w:r>
      <w:r>
        <w:rPr>
          <w:rFonts w:ascii="Arial" w:cs="Arial" w:eastAsia="Arial" w:hAnsi="Arial"/>
          <w:sz w:val="19"/>
          <w:szCs w:val="19"/>
        </w:rPr>
        <w:t xml:space="preserve"> Les ambulanciers internes exercent un périmètre de missions au moins aussi étendu que ceux du CHU, et tout aussi absent du référentiel DEA. Les trois stages obligatoires du DEA (médecine d’urgence, transport sanitaire, structures de soins) ne comportent aucun stage dédié en établissement psychiatrique.</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800"/>
        <w:gridCol w:w="1800"/>
        <w:gridCol w:w="4600"/>
      </w:tblGrid>
      <w:tr>
        <w:tc>
          <w:tcPr>
            <w:tcW w:type="dxa" w:w="3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 / Contexte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Données</w:t>
            </w:r>
          </w:p>
        </w:tc>
        <w:tc>
          <w:tcPr>
            <w:tcW w:type="dxa" w:w="4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Lacune de formation</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1. Consultations et hospitalisations somatiques de patients psychiatriques</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Activité courante</w:t>
            </w:r>
          </w:p>
        </w:tc>
        <w:tc>
          <w:tcPr>
            <w:tcW w:type="dxa" w:w="4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Vigilance clinique et relationnelle renforcée (comorbidités somatiques, patient parfois opposant). Non couvert par le DEA socle.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2. Transports inter-services (centres de post-cure, CMP, hôpitaux de jour)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Réparti sur le département</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Connaissance du parcours de soin requise, coordination étroite avec les équipes soignantes. Aucun module dédié.</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3. Transferts vers UMD ou USIP</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Trajets locaux et nationaux</w:t>
            </w:r>
          </w:p>
        </w:tc>
        <w:tc>
          <w:tcPr>
            <w:tcW w:type="dxa" w:w="4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Prise en charge de patients en phase de crise aiguë. Aucune formation à la gestion de la crise psychiatrique en transport.</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4. Réintégrations après fugue ou sortie pathologique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Local et national</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Risque d’agressivité et d’imprévisibilité comparable aux transports sous contrainte (cf. 2B-1). Aucune formation reconnue.</w:t>
            </w:r>
          </w:p>
        </w:tc>
      </w:tr>
      <w:tr>
        <w:tc>
          <w:tcPr>
            <w:tcW w:type="dxa" w:w="3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5. Transferts de détenus vers les services d’admission / UHSA</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Escorte requise</w:t>
            </w:r>
          </w:p>
        </w:tc>
        <w:tc>
          <w:tcPr>
            <w:tcW w:type="dxa" w:w="4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Cumule contrainte psychiatrique ET contrainte pénitentiaire (escorte, sécurité). Hors périmètre DEA et UHSI classique.</w:t>
            </w:r>
          </w:p>
        </w:tc>
      </w:tr>
      <w:tr>
        <w:tc>
          <w:tcPr>
            <w:tcW w:type="dxa" w:w="3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6. Transports devant le JLD ou les tribunaux</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Patients et détenus</w:t>
            </w:r>
          </w:p>
        </w:tc>
        <w:tc>
          <w:tcPr>
            <w:tcW w:type="dxa" w:w="4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Gestion administrative des demandes de transport et de la régulation associée. Aucun module dédié.</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2"/>
              <w:left w:val="none" w:color="FFFFFF" w:sz="0"/>
              <w:bottom w:val="single" w:color="CCCCCC" w:sz="2"/>
              <w:right w:val="none" w:color="FFFFFF" w:sz="0"/>
            </w:tcBorders>
            <w:shd w:fill="FAFAFA" w:val="clear"/>
            <w:tcMar>
              <w:top w:type="dxa" w:w="60"/>
              <w:left w:type="dxa" w:w="80"/>
              <w:bottom w:type="dxa" w:w="60"/>
              <w:right w:type="dxa" w:w="80"/>
            </w:tcMar>
          </w:tcPr>
          <w:p>
            <w:pPr>
              <w:jc w:val="both"/>
            </w:pPr>
            <w:r>
              <w:rPr>
                <w:rFonts w:ascii="Arial" w:cs="Arial" w:eastAsia="Arial" w:hAnsi="Arial"/>
                <w:i/>
                <w:iCs/>
                <w:color w:val="595959"/>
                <w:sz w:val="16"/>
                <w:szCs w:val="16"/>
              </w:rPr>
              <w:t xml:space="preserve">Les transferts vers UMD/USIP et les réintégrations après fugue relèvent du futur module M1 (contrainte et agressivité) ; les transferts de détenus vers l’UHSA et les transports vers le JLD relèvent du futur module M2 (transports sécurisés et pénitentiaires) — cf. Stratégie catégorie B, section III.</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2D — Impact du Plan « Zéro contention 2030 » sur les transports psychiatriques</w:t>
            </w:r>
          </w:p>
        </w:tc>
      </w:tr>
    </w:tbl>
    <w:p>
      <w:pPr>
        <w:spacing w:after="0" w:before="4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Le 2 juin 2026, la ministre Stéphanie Rist a fixé un objectif national de « zéro contention » en psychiatrie à l’horizon 2030, assorti d’un renforcement de la formation à la désescalade — mais ciblant les équipes d’hospitalisation, </w:t>
      </w:r>
      <w:r>
        <w:rPr>
          <w:rFonts w:ascii="Arial" w:cs="Arial" w:eastAsia="Arial" w:hAnsi="Arial"/>
          <w:b/>
          <w:bCs/>
          <w:sz w:val="19"/>
          <w:szCs w:val="19"/>
        </w:rPr>
        <w:t xml:space="preserve">pas les professionnels du transport sanitaire</w:t>
      </w:r>
      <w:r>
        <w:rPr>
          <w:rFonts w:ascii="Arial" w:cs="Arial" w:eastAsia="Arial" w:hAnsi="Arial"/>
          <w:sz w:val="19"/>
          <w:szCs w:val="19"/>
        </w:rPr>
        <w:t xml:space="preserve">.</w:t>
      </w:r>
    </w:p>
    <w:p>
      <w:pPr>
        <w:spacing w:after="40" w:before="60"/>
        <w:ind w:left="360"/>
        <w:jc w:val="both"/>
      </w:pPr>
      <w:r>
        <w:rPr>
          <w:rFonts w:ascii="Arial" w:cs="Arial" w:eastAsia="Arial" w:hAnsi="Arial"/>
          <w:sz w:val="19"/>
          <w:szCs w:val="19"/>
        </w:rPr>
        <w:t xml:space="preserve">— La réduction du recours à la contention mécanique en service se répercute mécaniquement sur le transport, où elle reste parfois mobilisée comme mesure de sécurité faute d’alternative.</w:t>
      </w:r>
    </w:p>
    <w:p>
      <w:pPr>
        <w:spacing w:after="60" w:before="0"/>
        <w:ind w:left="360"/>
        <w:jc w:val="both"/>
      </w:pPr>
      <w:r>
        <w:rPr>
          <w:rFonts w:ascii="Arial" w:cs="Arial" w:eastAsia="Arial" w:hAnsi="Arial"/>
          <w:sz w:val="19"/>
          <w:szCs w:val="19"/>
        </w:rPr>
        <w:t xml:space="preserve">— L’habitacle du véhicule, espace confiné et mobile, rend la gestion d’une crise comportementale structurellement plus risquée qu’en service.</w:t>
      </w:r>
    </w:p>
    <w:p>
      <w:pPr>
        <w:spacing w:after="80" w:before="0"/>
        <w:ind w:left="360"/>
        <w:jc w:val="both"/>
      </w:pPr>
      <w:r>
        <w:rPr>
          <w:rFonts w:ascii="Arial" w:cs="Arial" w:eastAsia="Arial" w:hAnsi="Arial"/>
          <w:sz w:val="19"/>
          <w:szCs w:val="19"/>
        </w:rPr>
        <w:t xml:space="preserve">— Aucun volet de formation dédié n’existe à ce jour pour les ambulanciers dans ce plan, alors que les missions les plus concernées (transports sous contrainte, UMD/USIP, réintégrations après fugue) sont précisément celles déjà identifiées hors référentiel DEA.</w:t>
      </w:r>
    </w:p>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PARTIE 2 BIS —  CE QUE RÉALISENT RÉELLEMENT LES AMBULANCIERS SMUR</w:t>
            </w:r>
          </w:p>
          <w:p>
            <w:pPr>
              <w:spacing w:after="0" w:before="0"/>
            </w:pPr>
            <w:r>
              <w:rPr>
                <w:rFonts w:ascii="Arial" w:cs="Arial" w:eastAsia="Arial" w:hAnsi="Arial"/>
                <w:i/>
                <w:iCs/>
                <w:color w:val="AACCEE"/>
                <w:sz w:val="18"/>
                <w:szCs w:val="18"/>
              </w:rPr>
              <w:t xml:space="preserve">D’après le dossier AFASH (Association Française des Ambulanciers SMUR et Hospitaliers) — version 02/2026</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2E5F8A" w:sz="4"/>
              <w:left w:val="single" w:color="2E5F8A" w:sz="12"/>
              <w:bottom w:val="single" w:color="2E5F8A" w:sz="4"/>
              <w:right w:val="none" w:color="FFFFFF" w:sz="0"/>
            </w:tcBorders>
            <w:shd w:fill="E8F4FD" w:val="clear"/>
            <w:tcMar>
              <w:top w:type="dxa" w:w="100"/>
              <w:left w:type="dxa" w:w="160"/>
              <w:bottom w:type="dxa" w:w="100"/>
              <w:right w:type="dxa" w:w="160"/>
            </w:tcMar>
          </w:tcPr>
          <w:p>
            <w:r>
              <w:rPr>
                <w:rFonts w:ascii="Arial" w:cs="Arial" w:eastAsia="Arial" w:hAnsi="Arial"/>
                <w:b/>
                <w:bCs/>
                <w:color w:val="2E5F8A"/>
                <w:sz w:val="19"/>
                <w:szCs w:val="19"/>
              </w:rPr>
              <w:t xml:space="preserve">□ NOUVEAU — Intégration périmètre SMUR (MAJ 27 juin 2026)</w:t>
            </w:r>
          </w:p>
        </w:tc>
      </w:tr>
    </w:tbl>
    <w:p>
      <w:pPr>
        <w:spacing w:after="0" w:before="4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Cette partie s’appuie sur le dossier de demande de spécialisation d’ambulancier SMUR porté par l’AFASH (version 02/2026), qui documente l’écart entre le référentiel DEA socle (et le décret AMU n° 2022-629) et les compétences réellement mobilisées par l’ambulancier au sein du </w:t>
      </w:r>
    </w:p>
    <w:p>
      <w:pPr>
        <w:spacing w:after="60" w:before="60"/>
        <w:jc w:val="both"/>
      </w:pPr>
      <w:r>
        <w:rPr>
          <w:rFonts w:ascii="Arial" w:cs="Arial" w:eastAsia="Arial" w:hAnsi="Arial"/>
          <w:sz w:val="19"/>
          <w:szCs w:val="19"/>
        </w:rPr>
        <w:t xml:space="preserve">Cette partie s’appuie sur le dossier de demande de spécialisation d’ambulancier SMUR porté par l’AFASH (version 02/2026), qui documente l’écart entre le référentiel DEA socle (et le décret AMU n° 2022-629) et les compétences réellement mobilisées par l’ambulancier au sein du </w:t>
      </w:r>
      <w:r>
        <w:rPr>
          <w:rFonts w:ascii="Arial" w:cs="Arial" w:eastAsia="Arial" w:hAnsi="Arial"/>
          <w:b/>
          <w:bCs/>
          <w:sz w:val="19"/>
          <w:szCs w:val="19"/>
        </w:rPr>
        <w:t xml:space="preserve">trinôme SMUR</w:t>
      </w:r>
      <w:r>
        <w:rPr>
          <w:rFonts w:ascii="Arial" w:cs="Arial" w:eastAsia="Arial" w:hAnsi="Arial"/>
          <w:sz w:val="19"/>
          <w:szCs w:val="19"/>
        </w:rPr>
        <w:t xml:space="preserve"> (médecin – infirmier – ambulancier).</w:t>
      </w:r>
    </w:p>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2E — Missions SMUR couvertes par le décret 2022-629 et le DEA</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4800"/>
        <w:gridCol w:w="2400"/>
        <w:gridCol w:w="3000"/>
      </w:tblGrid>
      <w:tr>
        <w:tc>
          <w:tcPr>
            <w:tcW w:type="dxa" w:w="4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 / Activité SMUR</w:t>
            </w:r>
          </w:p>
        </w:tc>
        <w:tc>
          <w:tcPr>
            <w:tcW w:type="dxa" w:w="24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Bloc DEA / Décret</w:t>
            </w:r>
          </w:p>
        </w:tc>
        <w:tc>
          <w:tcPr>
            <w:tcW w:type="dxa" w:w="3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Remarque</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Conduite du véhicule UMH (Unité Mobile Hospitalière)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3</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Surveillance des constantes de base, monitorage simple (FC, TA non invasive)</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2</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Recueil de la glycémie capillaire (dextro)</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Décret 2022-629</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 depuis 2022/2023</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Recueil et transmission du SpO2</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Décret 2022-629</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 depuis 2022/2023</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Enregistrement et transmission d’un ECG à visée diagnostique</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Décret 2022-629</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 depuis 2022/2023</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Entretien courant, nettoyage et désinfection du véhicule et du matériel</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4</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Traçabilité, dossier de régulation / dossier d’intervention</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Bloc 5</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Couvert</w:t>
            </w:r>
          </w:p>
        </w:tc>
      </w:tr>
      <w:tr>
        <w:tc>
          <w:tcPr>
            <w:tcW w:type="dxa" w:w="4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Travail en équipe avec médecin et IDE/IADE (trinôme SMUR)</w:t>
            </w:r>
          </w:p>
        </w:tc>
        <w:tc>
          <w:tcPr>
            <w:tcW w:type="dxa" w:w="24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Bloc 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2E5F8A"/>
                <w:sz w:val="18"/>
                <w:szCs w:val="18"/>
              </w:rPr>
              <w:t xml:space="preserve">Couvert dans son principe</w:t>
            </w:r>
          </w:p>
        </w:tc>
      </w:tr>
      <w:tr>
        <w:tc>
          <w:tcPr>
            <w:tcW w:type="dxa" w:w="4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FAE SMUR (175 h)</w:t>
            </w:r>
          </w:p>
        </w:tc>
        <w:tc>
          <w:tcPr>
            <w:tcW w:type="dxa" w:w="24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i/>
                <w:iCs/>
                <w:sz w:val="18"/>
                <w:szCs w:val="18"/>
              </w:rPr>
              <w:t xml:space="preserve">Formation complémentaire</w:t>
            </w:r>
          </w:p>
        </w:tc>
        <w:tc>
          <w:tcPr>
            <w:tcW w:type="dxa" w:w="3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C0392B"/>
                <w:sz w:val="18"/>
                <w:szCs w:val="18"/>
              </w:rPr>
              <w:t xml:space="preserve">Obligatoire pour affectation SMUR — non diplômante, hors RNCP</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2F — Missions SMUR réalisées HORS champ de compétences DEA</w:t>
            </w:r>
          </w:p>
        </w:tc>
      </w:tr>
    </w:tbl>
    <w:p>
      <w:pPr>
        <w:spacing w:after="0" w:before="4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Le dossier AFASH identifie </w:t>
      </w:r>
      <w:r>
        <w:rPr>
          <w:rFonts w:ascii="Arial" w:cs="Arial" w:eastAsia="Arial" w:hAnsi="Arial"/>
          <w:b/>
          <w:bCs/>
          <w:sz w:val="19"/>
          <w:szCs w:val="19"/>
        </w:rPr>
        <w:t xml:space="preserve">12 compétences spécifiques</w:t>
      </w:r>
      <w:r>
        <w:rPr>
          <w:rFonts w:ascii="Arial" w:cs="Arial" w:eastAsia="Arial" w:hAnsi="Arial"/>
          <w:sz w:val="19"/>
          <w:szCs w:val="19"/>
        </w:rPr>
        <w:t xml:space="preserve"> mobilisées en pratique par l’ambulancier SMUR mais absentes du référentiel DEA socle et du décret 2022-629.</w:t>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3500"/>
        <w:gridCol w:w="2200"/>
        <w:gridCol w:w="4500"/>
      </w:tblGrid>
      <w:tr>
        <w:tc>
          <w:tcPr>
            <w:tcW w:type="dxa" w:w="3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 / Contexte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Source AFASH 02/2026</w:t>
            </w:r>
          </w:p>
        </w:tc>
        <w:tc>
          <w:tcPr>
            <w:tcW w:type="dxa" w:w="45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Lacune de formation identifiée</w:t>
            </w:r>
          </w:p>
        </w:tc>
      </w:tr>
      <w:tr>
        <w:tc>
          <w:tcPr>
            <w:tcW w:type="dxa" w:w="3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1. Assistance technique aux gestes de réanimation (aide à l’intubation, pose de dispositifs, ventilation manuelle BAVU)</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Compétence n°4 · Bloc 2 référentiel AFASH</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Aucune formation reconnue au DEA à l’assistance aux voies aériennes ni aux gestes de réanimation, même sous supervision médicale.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2. Damage control préhospitalier : garrots, pansements compressifs, priorisation hémorragie–ventilation–état circulatoire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Module 3 « Damage Control » · Compétence n°4</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Absent du DEA socle. Geste à enjeu vital, non sécurisé par un cadre de formation reconnu.</w:t>
            </w:r>
          </w:p>
        </w:tc>
      </w:tr>
      <w:tr>
        <w:tc>
          <w:tcPr>
            <w:tcW w:type="dxa" w:w="3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3. Préparation de perfusion pour l’IDE : kits, purge, sécurisation et traçabilité</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Champ d’action SMUR, dossier AFASH</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 module DEA sur la préparation des dispositifs de perfusion, même en simple appui logistique à l’IDE.</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4. Gestion de scène complexe ou instable (accident, violence, foule) et mesures NRBC de base</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Compétence n°8 · Bloc 4 référentiel AFASH</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DEA : aucune formation à l’évaluation des risques de scène ni aux mesures NRBC de base.</w:t>
            </w:r>
          </w:p>
        </w:tc>
      </w:tr>
      <w:tr>
        <w:tc>
          <w:tcPr>
            <w:tcW w:type="dxa" w:w="3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5. Intervention en SSE (plans ORSEC, plan blanc, plan rouge, tri/pré-tri sous supervision médicale)</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Module 2 SSE · Bloc 4 référentiel AFASH</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Hors périmètre DEA. Seule la FAE SMUR (non certifiante) aborde partiellement ce volet.</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6. Coordination interservices en intervention (SDIS, forces de l’ordre, ARS, SAMU)</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Compétences n°6 et n°8</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DEA dédié à la coordination opérationnelle interservices en situation d’urgence vitale.</w:t>
            </w:r>
          </w:p>
        </w:tc>
      </w:tr>
      <w:tr>
        <w:tc>
          <w:tcPr>
            <w:tcW w:type="dxa" w:w="3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7. Brancardage et évacuation complexes en milieux hostiles et héliportés (HéliSMUR)</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Compétence n°5</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Le DEA couvre la manutention de base ; les techniques d’évacuation en milieu hostile ou héliporté ne sont pas formalisées.</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8. Maintenance et dépannage de premier niveau du matériel SMUR (UMH) selon procédures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Fiche de poste-type SMUR (ex. CHIC Alençon-Mamers)</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Mentionné dans les fiches de poste sans dotation ni formation à l’outillage ou à la procédure.</w:t>
            </w:r>
          </w:p>
        </w:tc>
      </w:tr>
      <w:tr>
        <w:tc>
          <w:tcPr>
            <w:tcW w:type="dxa" w:w="3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9. Adaptabilité aux populations vulnérables en contexte SMUR (pédiatrie, psychiatrie/agitation, personnes âgées)</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Compétence n°10</w:t>
            </w:r>
          </w:p>
        </w:tc>
        <w:tc>
          <w:tcPr>
            <w:tcW w:type="dxa" w:w="45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Recoupe les lacunes 2B/2C pour la psychiatrie ; non traité spécifiquement en contexte SMUR par le DEA.</w:t>
            </w:r>
          </w:p>
        </w:tc>
      </w:tr>
      <w:tr>
        <w:tc>
          <w:tcPr>
            <w:tcW w:type="dxa" w:w="3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sz w:val="18"/>
                <w:szCs w:val="18"/>
              </w:rPr>
              <w:t xml:space="preserve">10. Contribution structurée au débriefing post-intervention et analyse réflexive des pratiques</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Compétence n°11 · Mois 5 référentiel AFASH</w:t>
            </w:r>
          </w:p>
        </w:tc>
        <w:tc>
          <w:tcPr>
            <w:tcW w:type="dxa" w:w="45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Démarche qualité/sécurité non intégrée comme compétence formelle du DEA.</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2"/>
              <w:left w:val="none" w:color="FFFFFF" w:sz="0"/>
              <w:bottom w:val="single" w:color="CCCCCC" w:sz="2"/>
              <w:right w:val="none" w:color="FFFFFF" w:sz="0"/>
            </w:tcBorders>
            <w:shd w:fill="FAFAFA" w:val="clear"/>
            <w:tcMar>
              <w:top w:type="dxa" w:w="60"/>
              <w:left w:type="dxa" w:w="80"/>
              <w:bottom w:type="dxa" w:w="60"/>
              <w:right w:type="dxa" w:w="80"/>
            </w:tcMar>
          </w:tcPr>
          <w:p>
            <w:pPr>
              <w:jc w:val="both"/>
            </w:pPr>
            <w:r>
              <w:rPr>
                <w:rFonts w:ascii="Arial" w:cs="Arial" w:eastAsia="Arial" w:hAnsi="Arial"/>
                <w:i/>
                <w:iCs/>
                <w:color w:val="595959"/>
                <w:sz w:val="16"/>
                <w:szCs w:val="16"/>
              </w:rPr>
              <w:t xml:space="preserve">Le dossier AFASH propose, sur cette base, la création d’une spécialisation post-DEA « Ambulancier SMUR » (5 mois, 600 à 700 heures), avec visée d’inscription au RNCP de niveau 4, accessible par formation continue ou VAE. Cette demande reste à ce stade une proposition portée par l’AFASH, non encore reconnue officiellement.</w:t>
            </w:r>
          </w:p>
        </w:tc>
      </w:tr>
    </w:tbl>
    <w:p>
      <w:pPr>
        <w:spacing w:after="0" w:before="10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EAF2FB" w:val="clear"/>
            <w:tcMar>
              <w:top w:type="dxa" w:w="80"/>
              <w:left w:type="dxa" w:w="160"/>
              <w:bottom w:type="dxa" w:w="80"/>
              <w:right w:type="dxa" w:w="120"/>
            </w:tcMar>
          </w:tcPr>
          <w:p>
            <w:r>
              <w:rPr>
                <w:rFonts w:ascii="Arial" w:cs="Arial" w:eastAsia="Arial" w:hAnsi="Arial"/>
                <w:b/>
                <w:bCs/>
                <w:color w:val="1F3864"/>
                <w:sz w:val="19"/>
                <w:szCs w:val="19"/>
              </w:rPr>
              <w:t xml:space="preserve">2G — Comparatif international de reconnaissance de la fonction ambulancier SMUR</w:t>
            </w:r>
          </w:p>
        </w:tc>
      </w:tr>
    </w:tbl>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5600"/>
      </w:tblGrid>
      <w:tr>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Pays</w:t>
            </w:r>
          </w:p>
        </w:tc>
        <w:tc>
          <w:tcPr>
            <w:tcW w:type="dxa" w:w="2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Titre reconnu</w:t>
            </w:r>
          </w:p>
        </w:tc>
        <w:tc>
          <w:tcPr>
            <w:tcW w:type="dxa" w:w="56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Cadre réglementaire / Formation</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Royaume-Uni</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Paramedic</w:t>
            </w:r>
          </w:p>
        </w:tc>
        <w:tc>
          <w:tcPr>
            <w:tcW w:type="dxa" w:w="5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Reconnu par le HCPC (Health and Care Professions Council) — Formation universitaire 3 ans, niveau licence</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Allemagne</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Notfallsanitäter</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Réforme 2014 (Notfallsanitätergesetz) — 3 ans de formation spécialisée — Niveau bac+</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Québec</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Technicien ambulancier paramédic</w:t>
            </w:r>
          </w:p>
        </w:tc>
        <w:tc>
          <w:tcPr>
            <w:tcW w:type="dxa" w:w="5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Diplôme reconnu nationalement — Formation collégiale 2 ans</w:t>
            </w:r>
          </w:p>
        </w:tc>
      </w:tr>
      <w:tr>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États-Unis</w:t>
            </w:r>
          </w:p>
        </w:tc>
        <w:tc>
          <w:tcPr>
            <w:tcW w:type="dxa" w:w="2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Paramedic</w:t>
            </w:r>
          </w:p>
        </w:tc>
        <w:tc>
          <w:tcPr>
            <w:tcW w:type="dxa" w:w="56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Certifié NREMT (National Registry of EMTs) — Formation post-EMT — Certification nationale</w:t>
            </w:r>
          </w:p>
        </w:tc>
      </w:tr>
      <w:tr>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France</w:t>
            </w:r>
          </w:p>
        </w:tc>
        <w:tc>
          <w:tcPr>
            <w:tcW w:type="dxa" w:w="2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C0392B"/>
                <w:sz w:val="18"/>
                <w:szCs w:val="18"/>
              </w:rPr>
              <w:t xml:space="preserve">Aucun titre RNCP spécifique pour l’ambulancier SMUR</w:t>
            </w:r>
          </w:p>
        </w:tc>
        <w:tc>
          <w:tcPr>
            <w:tcW w:type="dxa" w:w="56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FAE SMUR 175 h — non diplômante, hors RNCP · Proposition AFASH : spécialisation post-DEA 5 mois / 600-700 h / niveau 4 RNCP</w:t>
            </w:r>
          </w:p>
        </w:tc>
      </w:tr>
    </w:tbl>
    <w:p>
      <w:pPr>
        <w:spacing w:after="0" w:before="1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PARTIE 3 —  TABLEAU DE SYNTHÈSE COMPARATIF — TOUTES MISSIONS</w:t>
            </w:r>
          </w:p>
          <w:p>
            <w:pPr>
              <w:spacing w:after="0" w:before="0"/>
            </w:pPr>
            <w:r>
              <w:rPr>
                <w:rFonts w:ascii="Arial" w:cs="Arial" w:eastAsia="Arial" w:hAnsi="Arial"/>
                <w:i/>
                <w:iCs/>
                <w:color w:val="AACCEE"/>
                <w:sz w:val="18"/>
                <w:szCs w:val="18"/>
              </w:rPr>
              <w:t xml:space="preserve">CHU de Toulouse · Établissements psychiatriques * · SMUR † — 32 missions recensées</w:t>
            </w:r>
          </w:p>
        </w:tc>
      </w:tr>
    </w:tbl>
    <w:p>
      <w:pPr>
        <w:spacing w:after="0" w:before="80"/>
      </w:pPr>
      <w:r>
        <w:rPr>
          <w:rFonts w:ascii="Arial" w:cs="Arial" w:eastAsia="Arial" w:hAnsi="Arial"/>
          <w:sz w:val="19"/>
          <w:szCs w:val="19"/>
        </w:rPr>
        <w:t xml:space="preserve"/>
      </w:r>
    </w:p>
    <w:p>
      <w:pPr>
        <w:spacing w:after="60" w:before="60"/>
        <w:jc w:val="both"/>
      </w:pPr>
      <w:r>
        <w:rPr>
          <w:rFonts w:ascii="Arial" w:cs="Arial" w:eastAsia="Arial" w:hAnsi="Arial"/>
          <w:sz w:val="19"/>
          <w:szCs w:val="19"/>
        </w:rPr>
        <w:t xml:space="preserve">Ce tableau récapitule l’ensemble des missions identifiées et indique pour chacune si elle est couverte par le DEA 2022/2024 et/ou le décret n° 2022-629. Vert = couvert · Rouge = hors périmètre DEA.</w:t>
      </w:r>
    </w:p>
    <w:p>
      <w:pPr>
        <w:spacing w:after="0" w:before="4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200"/>
        <w:gridCol w:w="1800"/>
        <w:gridCol w:w="3200"/>
      </w:tblGrid>
      <w:tr>
        <w:tc>
          <w:tcPr>
            <w:tcW w:type="dxa" w:w="5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Mission réalisée</w:t>
            </w:r>
          </w:p>
        </w:tc>
        <w:tc>
          <w:tcPr>
            <w:tcW w:type="dxa" w:w="18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Couvert par DEA/décret ?</w:t>
            </w:r>
          </w:p>
        </w:tc>
        <w:tc>
          <w:tcPr>
            <w:tcW w:type="dxa" w:w="3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Observation</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 programmé sur prescription médicale</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Cœur de métier du référentiel (Bloc 3)</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Recueil de constantes et surveillance clinique en cours de trajet</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Couvert (Bloc 2)</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Soins de confort et d’hygiène de base lors du transport</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Couvert (Bloc 1)</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Conduite du véhicule sanitaire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Couvert (Bloc 3)</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Traçabilité / dossier patient</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Couvert (Bloc 5)</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Actes AMU (ECG, glycémie, O2, SpO2…)</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Couvert depuis 2022/2023 (décret 2022-629)</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FAE SMUR (urgences préhospitalières)</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Dispositif distinct, 175 h — non diplômant, hors RNCP</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Conduite du véhicule UMH et entretien courant matériel SMUR</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1F6B3E"/>
                <w:sz w:val="18"/>
                <w:szCs w:val="18"/>
              </w:rPr>
              <w:t xml:space="preserve">OUI†</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Couvert (Bloc 3 / Bloc 4)</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Transports psychiatriques sous contrainte (HSC, HDT)</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 stage dédié en établissement psychiatrique parmi les trois stages obligatoires</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Transports pénitentiaires (UHSI)</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sur la sécurité en milieu pénitentiaire, protocoles IRIS</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Soins palliatifs — accompagnement fin de vie</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Simple allusion dans le référentiel</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Médecine nucléaire (radioprotection)</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Absent du référentiel</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Médecine infectieuse / aplasie médullaire / patients greffés</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Aucune formation à l’asepsie renforcée ni à l’isolement protecteur</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Sorties de bloc opératoire / réanimation (dispositifs invasifs)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Aucune formation aux drains, sondes, perfusions, PSE</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Transports de produits sanguins labiles (PSL) — CHU Caen Normandie</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 bloc DEA couvrant la chaîne du froid, la traçabilité transfusionnelle (arrêté 10/09/2007) ni la gestion des incidents de transport</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Plans Blancs / médecine de catastrophe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Hors périmètre DEA</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Transports mortuaires nocturnes</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 module dédié, aucune procédure définie</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Dépannage matériel outillé de premier niveau</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Entretien courant couvert (Bloc 4) — dépannage outillé non couvert</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Consultations / hospitalisations somatiques de patients psychiatriques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Vigilance clinique et relationnelle renforcée requise — non couverte</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Transports inter-services en établissement psychiatrique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dédié</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Transferts vers UMD / USIP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Aucune formation à la gestion de la crise psychiatrique en transport</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Réintégrations après fugue / sortie pathologique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Risque comparable aux transports sous contrainte</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Transferts de détenus vers l’UHSA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Cumule contrainte psychiatrique + contrainte pénitentiaire</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Transports devant le JLD / tribunaux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dédié</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Assistance aux gestes de réanimation (intubation, BAVU)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Aucune formation DEA à l’assistance aux voies aériennes</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Damage control / contrôle hémorragique avancé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Geste à enjeu vital non sécurisé par le DEA</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Préparation de perfusion pour l’IDE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Aucun module DEA, même en appui logistique</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Gestion de scène complexe / mesures NRBC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Aucune formation à l’évaluation des risques de scène</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Intervention en SSE (ORSEC, plan blanc/rouge, tri/pré-tri)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Hors périmètre DEA, FAE SMUR aborde partiellement</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Coordination interservices en intervention (SDIS, Police, ARS)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Aucun module DEA dédié</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Brancardage / évacuation en milieux hostiles, HéliSMUR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Techniques avancées non formalisées au DEA</w:t>
            </w:r>
          </w:p>
        </w:tc>
      </w:tr>
      <w:tr>
        <w:tc>
          <w:tcPr>
            <w:tcW w:type="dxa" w:w="5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Maintenance / dépannage spécifique SMUR (UMH) †</w:t>
            </w:r>
          </w:p>
        </w:tc>
        <w:tc>
          <w:tcPr>
            <w:tcW w:type="dxa" w:w="18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sz w:val="18"/>
                <w:szCs w:val="18"/>
              </w:rPr>
              <w:t xml:space="preserve">Mentionné en fiche de poste sans formation ni outillage</w:t>
            </w:r>
          </w:p>
        </w:tc>
      </w:tr>
      <w:tr>
        <w:tc>
          <w:tcPr>
            <w:tcW w:type="dxa" w:w="5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Débriefing structuré post-intervention SMUR †</w:t>
            </w:r>
          </w:p>
        </w:tc>
        <w:tc>
          <w:tcPr>
            <w:tcW w:type="dxa" w:w="18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color w:val="9B1B1B"/>
                <w:sz w:val="18"/>
                <w:szCs w:val="18"/>
              </w:rPr>
              <w:t xml:space="preserve">NON</w:t>
            </w:r>
          </w:p>
        </w:tc>
        <w:tc>
          <w:tcPr>
            <w:tcW w:type="dxa" w:w="3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sz w:val="18"/>
                <w:szCs w:val="18"/>
              </w:rPr>
              <w:t xml:space="preserve">Démarche qualité non intégrée comme compétence DEA</w:t>
            </w:r>
          </w:p>
        </w:tc>
      </w:tr>
    </w:tbl>
    <w:p>
      <w:pPr>
        <w:spacing w:after="0" w:before="6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single" w:color="CCCCCC" w:sz="2"/>
              <w:left w:val="none" w:color="FFFFFF" w:sz="0"/>
              <w:bottom w:val="single" w:color="CCCCCC" w:sz="2"/>
              <w:right w:val="none" w:color="FFFFFF" w:sz="0"/>
            </w:tcBorders>
            <w:shd w:fill="FAFAFA" w:val="clear"/>
            <w:tcMar>
              <w:top w:type="dxa" w:w="60"/>
              <w:left w:type="dxa" w:w="80"/>
              <w:bottom w:type="dxa" w:w="60"/>
              <w:right w:type="dxa" w:w="80"/>
            </w:tcMar>
          </w:tcPr>
          <w:p>
            <w:pPr>
              <w:jc w:val="both"/>
            </w:pPr>
            <w:r>
              <w:rPr>
                <w:rFonts w:ascii="Arial" w:cs="Arial" w:eastAsia="Arial" w:hAnsi="Arial"/>
                <w:i/>
                <w:iCs/>
                <w:color w:val="595959"/>
                <w:sz w:val="16"/>
                <w:szCs w:val="16"/>
              </w:rPr>
              <w:t xml:space="preserve">* Missions identifiées pour les ambulanciers internes des établissements psychiatriques autonomes (ex. Hôpital Marchant, Toulouse) — cf. tableau 2C. † Missions identifiées pour les ambulanciers affectés en SMUR, d’après le dossier AFASH (version 02/2026) — cf. tableaux 2E/2F.</w:t>
            </w:r>
          </w:p>
        </w:tc>
      </w:tr>
    </w:tbl>
    <w:p>
      <w:pPr>
        <w:spacing w:after="0" w:before="12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none" w:color="FFFFFF" w:sz="0"/>
              <w:bottom w:val="none" w:color="FFFFFF" w:sz="0"/>
              <w:right w:val="none" w:color="FFFFFF" w:sz="0"/>
            </w:tcBorders>
            <w:shd w:fill="1F3864" w:val="clear"/>
            <w:tcMar>
              <w:top w:type="dxa" w:w="120"/>
              <w:left w:type="dxa" w:w="200"/>
              <w:bottom w:type="dxa" w:w="120"/>
              <w:right w:type="dxa" w:w="200"/>
            </w:tcMar>
          </w:tcPr>
          <w:p>
            <w:pPr>
              <w:spacing w:after="20" w:before="0"/>
            </w:pPr>
            <w:r>
              <w:rPr>
                <w:rFonts w:ascii="Arial" w:cs="Arial" w:eastAsia="Arial" w:hAnsi="Arial"/>
                <w:b/>
                <w:bCs/>
                <w:caps/>
                <w:color w:val="FFFFFF"/>
                <w:sz w:val="20"/>
                <w:szCs w:val="20"/>
              </w:rPr>
              <w:t xml:space="preserve">CONCLUSION —  BILAN QUANTITATIF ET PORTÉE ARGUMENTAIRE</w:t>
            </w:r>
          </w:p>
          <w:p>
            <w:pPr>
              <w:spacing w:after="0" w:before="0"/>
            </w:pPr>
            <w:r>
              <w:rPr>
                <w:rFonts w:ascii="Arial" w:cs="Arial" w:eastAsia="Arial" w:hAnsi="Arial"/>
                <w:i/>
                <w:iCs/>
                <w:color w:val="AACCEE"/>
                <w:sz w:val="18"/>
                <w:szCs w:val="18"/>
              </w:rPr>
              <w:t xml:space="preserve">25 missions sur 33 hors périmètre DEA — soit 75 % des missions recensées</w:t>
            </w:r>
          </w:p>
        </w:tc>
      </w:tr>
    </w:tbl>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6000"/>
        <w:gridCol w:w="2200"/>
        <w:gridCol w:w="2000"/>
      </w:tblGrid>
      <w:tr>
        <w:tc>
          <w:tcPr>
            <w:tcW w:type="dxa" w:w="6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Catégorie</w:t>
            </w:r>
          </w:p>
        </w:tc>
        <w:tc>
          <w:tcPr>
            <w:tcW w:type="dxa" w:w="22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Nombre de missions</w:t>
            </w:r>
          </w:p>
        </w:tc>
        <w:tc>
          <w:tcPr>
            <w:tcW w:type="dxa" w:w="2000"/>
            <w:tcBorders>
              <w:top w:val="single" w:color="CCCCCC" w:sz="4"/>
              <w:left w:val="single" w:color="CCCCCC" w:sz="4"/>
              <w:bottom w:val="single" w:color="CCCCCC" w:sz="4"/>
              <w:right w:val="single" w:color="CCCCCC" w:sz="4"/>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Proportion</w:t>
            </w:r>
          </w:p>
        </w:tc>
      </w:tr>
      <w:tr>
        <w:tc>
          <w:tcPr>
            <w:tcW w:type="dxa" w:w="6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Missions couvertes par le DEA / décret 2022-629</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8</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24 %</w:t>
            </w:r>
          </w:p>
        </w:tc>
      </w:tr>
      <w:tr>
        <w:tc>
          <w:tcPr>
            <w:tcW w:type="dxa" w:w="6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C0392B"/>
                <w:sz w:val="18"/>
                <w:szCs w:val="18"/>
              </w:rPr>
              <w:t xml:space="preserve">Missions HORS périmètre DEA (CHU + psychiatrie + SMUR + PSL)</w:t>
            </w:r>
          </w:p>
        </w:tc>
        <w:tc>
          <w:tcPr>
            <w:tcW w:type="dxa" w:w="22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C0392B"/>
                <w:sz w:val="18"/>
                <w:szCs w:val="18"/>
              </w:rPr>
              <w:t xml:space="preserve">25</w:t>
            </w:r>
          </w:p>
        </w:tc>
        <w:tc>
          <w:tcPr>
            <w:tcW w:type="dxa" w:w="2000"/>
            <w:tcBorders>
              <w:top w:val="single" w:color="CCCCCC" w:sz="4"/>
              <w:left w:val="single" w:color="CCCCCC" w:sz="4"/>
              <w:bottom w:val="single" w:color="CCCCCC" w:sz="4"/>
              <w:right w:val="single" w:color="CCCCCC" w:sz="4"/>
            </w:tcBorders>
            <w:shd w:fill="FFFFFF" w:val="clear"/>
            <w:tcMar>
              <w:top w:type="dxa" w:w="80"/>
              <w:left w:type="dxa" w:w="120"/>
              <w:bottom w:type="dxa" w:w="80"/>
              <w:right w:type="dxa" w:w="120"/>
            </w:tcMar>
          </w:tcPr>
          <w:p>
            <w:pPr>
              <w:jc w:val="both"/>
            </w:pPr>
            <w:r>
              <w:rPr>
                <w:rFonts w:ascii="Arial" w:cs="Arial" w:eastAsia="Arial" w:hAnsi="Arial"/>
                <w:b/>
                <w:bCs/>
                <w:color w:val="C0392B"/>
                <w:sz w:val="18"/>
                <w:szCs w:val="18"/>
              </w:rPr>
              <w:t xml:space="preserve">76 %</w:t>
            </w:r>
          </w:p>
        </w:tc>
      </w:tr>
      <w:tr>
        <w:tc>
          <w:tcPr>
            <w:tcW w:type="dxa" w:w="6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TOTAL missions recensées</w:t>
            </w:r>
          </w:p>
        </w:tc>
        <w:tc>
          <w:tcPr>
            <w:tcW w:type="dxa" w:w="22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33</w:t>
            </w:r>
          </w:p>
        </w:tc>
        <w:tc>
          <w:tcPr>
            <w:tcW w:type="dxa" w:w="2000"/>
            <w:tcBorders>
              <w:top w:val="single" w:color="CCCCCC" w:sz="4"/>
              <w:left w:val="single" w:color="CCCCCC" w:sz="4"/>
              <w:bottom w:val="single" w:color="CCCCCC" w:sz="4"/>
              <w:right w:val="single" w:color="CCCCCC" w:sz="4"/>
            </w:tcBorders>
            <w:shd w:fill="EEF4FA" w:val="clear"/>
            <w:tcMar>
              <w:top w:type="dxa" w:w="80"/>
              <w:left w:type="dxa" w:w="120"/>
              <w:bottom w:type="dxa" w:w="80"/>
              <w:right w:type="dxa" w:w="120"/>
            </w:tcMar>
          </w:tcPr>
          <w:p>
            <w:pPr>
              <w:jc w:val="both"/>
            </w:pPr>
            <w:r>
              <w:rPr>
                <w:rFonts w:ascii="Arial" w:cs="Arial" w:eastAsia="Arial" w:hAnsi="Arial"/>
                <w:b/>
                <w:bCs/>
                <w:sz w:val="18"/>
                <w:szCs w:val="18"/>
              </w:rPr>
              <w:t xml:space="preserve">100 %</w:t>
            </w:r>
          </w:p>
        </w:tc>
      </w:tr>
    </w:tbl>
    <w:p>
      <w:pPr>
        <w:spacing w:after="0" w:before="80"/>
      </w:pPr>
      <w:r>
        <w:rPr>
          <w:rFonts w:ascii="Arial" w:cs="Arial" w:eastAsia="Arial" w:hAnsi="Arial"/>
          <w:sz w:val="19"/>
          <w:szCs w:val="19"/>
        </w:rPr>
        <w:t xml:space="preserve"/>
      </w:r>
    </w:p>
    <w:p>
      <w:pPr>
        <w:spacing w:after="60" w:before="0"/>
        <w:jc w:val="both"/>
      </w:pPr>
      <w:r>
        <w:rPr>
          <w:rFonts w:ascii="Arial" w:cs="Arial" w:eastAsia="Arial" w:hAnsi="Arial"/>
          <w:sz w:val="19"/>
          <w:szCs w:val="19"/>
        </w:rPr>
        <w:t xml:space="preserve">Sur l’ensemble des missions identifiées — CHU de Toulouse, établissements psychiatriques autonomes et SMUR confondus —, </w:t>
      </w:r>
      <w:r>
        <w:rPr>
          <w:rFonts w:ascii="Arial" w:cs="Arial" w:eastAsia="Arial" w:hAnsi="Arial"/>
          <w:b/>
          <w:bCs/>
          <w:sz w:val="19"/>
          <w:szCs w:val="19"/>
        </w:rPr>
        <w:t xml:space="preserve">25 missions sur 33 sortent du périmètre couvert par le DEA et le décret n° 2022-629</w:t>
      </w:r>
      <w:r>
        <w:rPr>
          <w:rFonts w:ascii="Arial" w:cs="Arial" w:eastAsia="Arial" w:hAnsi="Arial"/>
          <w:sz w:val="19"/>
          <w:szCs w:val="19"/>
        </w:rPr>
        <w:t xml:space="preserve">, contre 8 seulement qui y sont rattachées (soit les trois quarts des missions réalisées). L’ajout des transports de PSL (CHU Caen Normandie) confirme et étend ce déséquilibre.</w:t>
      </w:r>
    </w:p>
    <w:p>
      <w:pPr>
        <w:spacing w:after="80" w:before="0"/>
        <w:jc w:val="both"/>
      </w:pPr>
      <w:r>
        <w:rPr>
          <w:rFonts w:ascii="Arial" w:cs="Arial" w:eastAsia="Arial" w:hAnsi="Arial"/>
          <w:sz w:val="19"/>
          <w:szCs w:val="19"/>
        </w:rPr>
        <w:t xml:space="preserve">Avant l’intégration du périmètre SMUR, ce constat portait sur les missions CHU et psychiatrie ; l’ajout des dix missions SMUR identifiées dans le dossier AFASH (2F) </w:t>
      </w:r>
      <w:r>
        <w:rPr>
          <w:rFonts w:ascii="Arial" w:cs="Arial" w:eastAsia="Arial" w:hAnsi="Arial"/>
          <w:b/>
          <w:bCs/>
          <w:sz w:val="19"/>
          <w:szCs w:val="19"/>
        </w:rPr>
        <w:t xml:space="preserve">confirme et aggrave</w:t>
      </w:r>
      <w:r>
        <w:rPr>
          <w:rFonts w:ascii="Arial" w:cs="Arial" w:eastAsia="Arial" w:hAnsi="Arial"/>
          <w:sz w:val="19"/>
          <w:szCs w:val="19"/>
        </w:rPr>
        <w:t xml:space="preserve"> ce déséquilibre — le cœur même de l’activité SMUR (assistance aux gestes de réanimation, damage control, gestion de scène et coordination en SSE) reposant aujourd’hui sur des compétences exercées en pratique sans aucune reconnaissance ni cadre de formation national.</w:t>
      </w:r>
    </w:p>
    <w:p>
      <w:pPr>
        <w:spacing w:after="0" w:before="80"/>
      </w:pPr>
      <w:r>
        <w:rPr>
          <w:rFonts w:ascii="Arial" w:cs="Arial" w:eastAsia="Arial" w:hAnsi="Arial"/>
          <w:sz w:val="19"/>
          <w:szCs w:val="19"/>
        </w:rPr>
        <w:t xml:space="preserve"/>
      </w: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10204"/>
      </w:tblGrid>
      <w:tr>
        <w:tc>
          <w:tcPr>
            <w:tcW w:type="dxa" w:w="10204"/>
            <w:tcBorders>
              <w:top w:val="none" w:color="FFFFFF" w:sz="0"/>
              <w:left w:val="single" w:color="2E5F8A" w:sz="12"/>
              <w:bottom w:val="none" w:color="FFFFFF" w:sz="0"/>
              <w:right w:val="none" w:color="FFFFFF" w:sz="0"/>
            </w:tcBorders>
            <w:shd w:fill="F5F5F5" w:val="clear"/>
            <w:tcMar>
              <w:top w:type="dxa" w:w="100"/>
              <w:left w:type="dxa" w:w="160"/>
              <w:bottom w:type="dxa" w:w="100"/>
              <w:right w:type="dxa" w:w="160"/>
            </w:tcMar>
          </w:tcPr>
          <w:p>
            <w:pPr>
              <w:jc w:val="both"/>
            </w:pPr>
            <w:r>
              <w:rPr>
                <w:rFonts w:ascii="Arial" w:cs="Arial" w:eastAsia="Arial" w:hAnsi="Arial"/>
                <w:i/>
                <w:iCs/>
                <w:color w:val="595959"/>
                <w:sz w:val="18"/>
                <w:szCs w:val="18"/>
              </w:rPr>
              <w:t xml:space="preserve">Cet écart constitue le fondement technique du dossier argumentaire pour le passage en catégorie B, et rejoint la demande portée par l’AFASH d’une spécialisation post-DEA « Ambulancier SMUR » reconnue au RNCP (5 mois / 600-700 h / niveau 4). Il est directement mobilisable dans la saisine adressée à la ministre Stéphanie Rist et au DGOS le 28 juin 2026, et dans le dossier technique à porter devant la DGOS à l’échéance 6-12 mois.</w:t>
            </w:r>
          </w:p>
        </w:tc>
      </w:tr>
    </w:tbl>
    <w:p>
      <w:pPr>
        <w:spacing w:after="0" w:before="120"/>
      </w:pPr>
      <w:r>
        <w:rPr>
          <w:rFonts w:ascii="Arial" w:cs="Arial" w:eastAsia="Arial" w:hAnsi="Arial"/>
          <w:sz w:val="19"/>
          <w:szCs w:val="19"/>
        </w:rPr>
        <w:t xml:space="preserve"/>
      </w:r>
    </w:p>
    <w:p>
      <w:pPr>
        <w:pBdr>
          <w:top w:val="single" w:color="CCCCCC" w:sz="4"/>
        </w:pBdr>
        <w:spacing w:after="0" w:before="0"/>
      </w:pPr>
    </w:p>
    <w:p>
      <w:pPr>
        <w:spacing w:after="0" w:before="60"/>
      </w:pPr>
      <w:r>
        <w:rPr>
          <w:rFonts w:ascii="Arial" w:cs="Arial" w:eastAsia="Arial" w:hAnsi="Arial"/>
          <w:sz w:val="19"/>
          <w:szCs w:val="19"/>
        </w:rPr>
        <w:t xml:space="preserve"/>
      </w:r>
    </w:p>
    <w:p>
      <w:pPr>
        <w:jc w:val="both"/>
      </w:pPr>
      <w:r>
        <w:rPr>
          <w:rFonts w:ascii="Arial" w:cs="Arial" w:eastAsia="Arial" w:hAnsi="Arial"/>
          <w:b/>
          <w:bCs/>
          <w:sz w:val="17"/>
          <w:szCs w:val="17"/>
        </w:rPr>
        <w:t xml:space="preserve">Références : </w:t>
      </w:r>
      <w:r>
        <w:rPr>
          <w:rFonts w:ascii="Arial" w:cs="Arial" w:eastAsia="Arial" w:hAnsi="Arial"/>
          <w:sz w:val="17"/>
          <w:szCs w:val="17"/>
        </w:rPr>
        <w:t xml:space="preserve">Arrêté du 11 avril 2022 relatif à la formation conduisant au DEA (modifié le 4 juillet 2024) · Décret n° 2022-629 du 22 avril 2022 relatif aux actes professionnels des ambulanciers · Arrêté du 17 mai 2023 relatif à la FAE SMUR · Dossier AFASH, demande de spécialisation ambulancier SMUR, version 02/2026 · Données d’activité CHU de Toulouse — Service Transport Patients 2025 · Annonce Plan « Zéro contention 2030 », 2 juin 2026 (ministère de la Santé) · Décret n° 2022-1658 du 26 décembre 2022 portant création du corps des ambulanciers de la FPH · </w:t>
      </w:r>
      <w:r>
        <w:rPr>
          <w:rFonts w:ascii="Arial" w:cs="Arial" w:eastAsia="Arial" w:hAnsi="Arial"/>
          <w:b/>
          <w:bCs/>
          <w:sz w:val="17"/>
          <w:szCs w:val="17"/>
        </w:rPr>
        <w:t xml:space="preserve">Arrêté du 10 septembre 2007 relatif aux bonnes pratiques transfusionnelles (transport des PSL) · Constat intersyndicale CHU de Caen Normandie, 2026.</w:t>
      </w:r>
    </w:p>
    <w:p>
      <w:pPr>
        <w:spacing w:after="0" w:before="60"/>
      </w:pPr>
      <w:r>
        <w:rPr>
          <w:rFonts w:ascii="Arial" w:cs="Arial" w:eastAsia="Arial" w:hAnsi="Arial"/>
          <w:sz w:val="19"/>
          <w:szCs w:val="19"/>
        </w:rPr>
        <w:t xml:space="preserve"/>
      </w:r>
    </w:p>
    <w:p>
      <w:pPr>
        <w:jc w:val="both"/>
      </w:pPr>
      <w:r>
        <w:rPr>
          <w:rFonts w:ascii="Arial" w:cs="Arial" w:eastAsia="Arial" w:hAnsi="Arial"/>
          <w:i/>
          <w:iCs/>
          <w:color w:val="595959"/>
          <w:sz w:val="17"/>
          <w:szCs w:val="17"/>
        </w:rPr>
        <w:t xml:space="preserve">Signataires : Julien TERRE (CGT) · Sébastien GOUSSY (CGT) · Victor ALAVA (SUD) · Laurent BEZIA (représentant du personnel ambulancier) · Jérôme JEAN-CHARLES (représentant du personnel ambulancier) — CHU de Toulouse, Service Transport Patients, Place du Docteur Baylac, TSA 40031, 31059 Toulouse Cedex 9 — Document à usage syndical interne — Mise à jour : 27 juin 2026</w:t>
      </w:r>
    </w:p>
    <w:sectPr>
      <w:headerReference w:type="default" r:id="rId7"/>
      <w:footerReference w:type="default" r:id="rId8"/>
      <w:pgSz w:w="11906" w:h="16838" w:orient="portrait"/>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after="40" w:before="0"/>
    </w:pPr>
  </w:p>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7653"/>
      <w:gridCol w:w="2551"/>
    </w:tblGrid>
    <w:tr>
      <w:tc>
        <w:tcPr>
          <w:tcW w:type="dxa" w:w="7653"/>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color w:val="595959"/>
              <w:sz w:val="15"/>
              <w:szCs w:val="15"/>
            </w:rPr>
            <w:t xml:space="preserve">Document à usage syndical interne — CGT/SUD CHU Toulouse — Mise à jour : 27 juin 2026</w:t>
          </w:r>
        </w:p>
      </w:tc>
      <w:tc>
        <w:tcPr>
          <w:tcW w:type="dxa" w:w="2551"/>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Page </w:t>
          </w:r>
          <w:r>
            <w:rPr>
              <w:rFonts w:ascii="Arial" w:cs="Arial" w:eastAsia="Arial" w:hAnsi="Arial"/>
              <w:color w:val="595959"/>
              <w:sz w:val="15"/>
              <w:szCs w:val="15"/>
            </w:rPr>
            <w:fldChar w:fldCharType="begin"/>
            <w:instrText xml:space="preserve">PAGE</w:instrText>
            <w:fldChar w:fldCharType="separate"/>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204"/>
      <w:tblBorders>
        <w:top w:val="single" w:color="auto" w:sz="4"/>
        <w:left w:val="single" w:color="auto" w:sz="4"/>
        <w:bottom w:val="single" w:color="auto" w:sz="4"/>
        <w:right w:val="single" w:color="auto" w:sz="4"/>
        <w:insideH w:val="single" w:color="auto" w:sz="4"/>
        <w:insideV w:val="single" w:color="auto" w:sz="4"/>
      </w:tblBorders>
    </w:tblPr>
    <w:tblGrid>
      <w:gridCol w:w="5102"/>
      <w:gridCol w:w="5102"/>
    </w:tblGrid>
    <w:tr>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r>
            <w:rPr>
              <w:rFonts w:ascii="Arial" w:cs="Arial" w:eastAsia="Arial" w:hAnsi="Arial"/>
              <w:b/>
              <w:bCs/>
              <w:color w:val="FFFFFF"/>
              <w:sz w:val="16"/>
              <w:szCs w:val="16"/>
            </w:rPr>
            <w:t xml:space="preserve">★ </w:t>
          </w:r>
          <w:r>
            <w:rPr>
              <w:rFonts w:ascii="Arial" w:cs="Arial" w:eastAsia="Arial" w:hAnsi="Arial"/>
              <w:b/>
              <w:bCs/>
              <w:color w:val="1F3864"/>
              <w:sz w:val="15"/>
              <w:szCs w:val="15"/>
            </w:rPr>
            <w:t xml:space="preserve">MISSIONS DES AMBULANCIERS — RÉFÉRENTIEL DEA VS. PRATIQUE RÉELLE</w:t>
          </w:r>
        </w:p>
      </w:tc>
      <w:tc>
        <w:tcPr>
          <w:tcW w:type="dxa" w:w="5102"/>
          <w:tcBorders>
            <w:top w:val="none" w:color="FFFFFF" w:sz="0"/>
            <w:left w:val="none" w:color="FFFFFF" w:sz="0"/>
            <w:bottom w:val="none" w:color="FFFFFF" w:sz="0"/>
            <w:right w:val="none" w:color="FFFFFF" w:sz="0"/>
          </w:tcBorders>
          <w:tcMar>
            <w:top w:type="dxa" w:w="0"/>
            <w:left w:type="dxa" w:w="0"/>
            <w:bottom w:type="dxa" w:w="0"/>
            <w:right w:type="dxa" w:w="0"/>
          </w:tcMar>
        </w:tcPr>
        <w:p>
          <w:pPr>
            <w:jc w:val="right"/>
          </w:pPr>
          <w:r>
            <w:rPr>
              <w:rFonts w:ascii="Arial" w:cs="Arial" w:eastAsia="Arial" w:hAnsi="Arial"/>
              <w:color w:val="595959"/>
              <w:sz w:val="15"/>
              <w:szCs w:val="15"/>
            </w:rPr>
            <w:t xml:space="preserve">CGT / SUD · CHU de Toulouse · 27 juin 2026</w:t>
          </w:r>
        </w:p>
      </w:tc>
    </w:tr>
  </w:tbl>
  <w:p>
    <w:pPr>
      <w:pBdr>
        <w:bottom w:val="single" w:color="CCCCCC" w:sz="4"/>
      </w:pBdr>
      <w:spacing w:after="0" w:before="4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2026-06-29T10:24:36.913Z</dcterms:created>
  <dcterms:modified xsi:type="dcterms:W3CDTF">2026-06-29T10:24:36.914Z</dcterms:modified>
</cp:coreProperties>
</file>

<file path=docProps/custom.xml><?xml version="1.0" encoding="utf-8"?>
<Properties xmlns="http://schemas.openxmlformats.org/officeDocument/2006/custom-properties" xmlns:vt="http://schemas.openxmlformats.org/officeDocument/2006/docPropsVTypes"/>
</file>