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SAISINE</w:t>
      </w:r>
    </w:p>
    <w:p>
      <w:pPr>
        <w:spacing w:after="80"/>
        <w:jc w:val="center"/>
      </w:pPr>
      <w:r>
        <w:rPr>
          <w:b/>
          <w:bCs/>
          <w:sz w:val="26"/>
          <w:szCs w:val="26"/>
        </w:rPr>
        <w:t xml:space="preserve">PASSAGE EN CATÉGORIE B — Corps des ambulanciers de la Fonction Publique Hospitalière</w:t>
      </w:r>
    </w:p>
    <w:p>
      <w:pPr>
        <w:spacing w:after="240"/>
        <w:jc w:val="center"/>
      </w:pPr>
      <w:r>
        <w:rPr>
          <w:i/>
          <w:iCs/>
          <w:color w:val="555555"/>
          <w:sz w:val="20"/>
          <w:szCs w:val="20"/>
        </w:rPr>
        <w:t xml:space="preserve">Intersyndicale CGT — SUD Santé Sociaux · CHU de Toulouse · Version mise à jour le 30 juin 2026</w:t>
      </w:r>
    </w:p>
    <w:p>
      <w:pPr>
        <w:shd w:fill="EFF4F8" w:val="clear"/>
        <w:spacing w:after="60" w:before="120"/>
      </w:pPr>
      <w:r>
        <w:rPr>
          <w:b/>
          <w:bCs/>
          <w:i/>
          <w:iCs/>
          <w:sz w:val="20"/>
          <w:szCs w:val="20"/>
        </w:rPr>
        <w:t xml:space="preserve">Mise à jour du 30 juin 2026 — Argument 8 : disparités statutaires nationales (ASHQ, AEQ)</w:t>
      </w:r>
    </w:p>
    <w:p>
      <w:pPr>
        <w:shd w:fill="EFF4F8" w:val="clear"/>
        <w:spacing w:after="200"/>
      </w:pPr>
      <w:r>
        <w:rPr>
          <w:i/>
          <w:iCs/>
          <w:sz w:val="20"/>
          <w:szCs w:val="20"/>
        </w:rPr>
        <w:t xml:space="preserve">À la suite de l'examen comparé de bulletins de paie d'ambulanciers internes de quatre CHU (Montpellier, Tours, Caen Normandie, Toulouse), la présente saisine intègre un huitième argument documentant une pratique de classement par défaut sur des grades de catégorie C étrangers au corps des ambulanciers (ASHQ à Montpellier, AEQ à Toulouse), constatée y compris au sein d'un même établissement. Cet argument vient compléter et étayer concrètement l'Argument 2 (iniquité Ségur) par des pièces de paie vérifiables.</w:t>
      </w:r>
    </w:p>
    <w:p>
      <w:pPr>
        <w:spacing w:after="160"/>
      </w:pPr>
      <w:r>
        <w:rPr>
          <w:b/>
          <w:bCs/>
        </w:rPr>
        <w:t xml:space="preserve">Intersyndicale CGT — SUD Santé Sociaux</w:t>
      </w:r>
    </w:p>
    <w:p>
      <w:pPr>
        <w:spacing w:after="160"/>
      </w:pPr>
      <w:r>
        <w:t xml:space="preserve">Ambulanciers de la Fonction Publique Hospitalière</w:t>
      </w:r>
    </w:p>
    <w:p>
      <w:pPr>
        <w:spacing w:after="160"/>
      </w:pPr>
      <w:r>
        <w:t xml:space="preserve">CHU de Toulouse — Service Transport Patients</w:t>
      </w:r>
    </w:p>
    <w:p>
      <w:pPr>
        <w:spacing w:after="200"/>
      </w:pPr>
      <w:r>
        <w:t xml:space="preserve">Place du Docteur Baylac, TSA 40031 — 31059 Toulouse Cedex 9</w:t>
      </w:r>
    </w:p>
    <w:p>
      <w:pPr>
        <w:spacing w:after="200"/>
        <w:jc w:val="right"/>
      </w:pPr>
      <w:r>
        <w:rPr>
          <w:i/>
          <w:iCs/>
        </w:rPr>
        <w:t xml:space="preserve">Toulouse, le 30 juin 2026</w:t>
      </w:r>
    </w:p>
    <w:p>
      <w:pPr>
        <w:spacing w:after="160"/>
      </w:pPr>
      <w:r>
        <w:rPr>
          <w:i/>
          <w:iCs/>
          <w:sz w:val="20"/>
          <w:szCs w:val="20"/>
        </w:rPr>
        <w:t xml:space="preserve">Contacts : Julien TERRE (CGT) · Sébastien GOUSSY (CGT) · Victor ALAVA (SUD) · Laurent BEZIA (représentant du personnel ambulancier) · Jérôme JEAN-CHARLES (représentant du personnel ambulancier)</w:t>
      </w:r>
    </w:p>
    <w:p>
      <w:pPr>
        <w:pStyle w:val="Heading2"/>
      </w:pPr>
      <w:r>
        <w:t xml:space="preserve">Objet et destinataires</w:t>
      </w:r>
    </w:p>
    <w:p>
      <w:pPr>
        <w:spacing w:after="160"/>
      </w:pPr>
      <w:r>
        <w:rPr>
          <w:b/>
          <w:bCs/>
        </w:rPr>
        <w:t xml:space="preserve">Objet : Demande de révision du classement statutaire du corps des ambulanciers de la fonction publique hospitalière — passage de la catégorie C à la catégorie B.</w:t>
      </w:r>
    </w:p>
    <w:p>
      <w:pPr>
        <w:spacing w:after="160"/>
      </w:pPr>
      <w:r>
        <w:t xml:space="preserve">Adressée à Madame Stéphanie RIST, Ministre de la Santé, des Familles, de l’Autonomie et des Personnes handicapées, et à Monsieur le Directeur général de l’offre de soins (DGOS), 14 avenue Duquesne, 75007 Paris.</w:t>
      </w:r>
    </w:p>
    <w:p>
      <w:pPr>
        <w:spacing w:after="160"/>
      </w:pPr>
      <w:r>
        <w:t xml:space="preserve">Réf. : Décret n° 2022-1658 du 26 décembre 2022 · Décret n° 2021-1257 du 29 septembre 2021 · Arrêté du 11 avril 2022 modifié le 4 juillet 2024 · Art. L. 4393-1 et R. 6311-17 CSP.</w:t>
      </w:r>
    </w:p>
    <w:p>
      <w:pPr>
        <w:spacing w:after="160"/>
      </w:pPr>
      <w:r>
        <w:t xml:space="preserve">Copies : DGAFP · HCPP · CSFPH · FHF · Fédérations nationales CGT Santé &amp; SUD Santé Sociaux · Direction Générale CHU de Toulouse</w:t>
      </w:r>
    </w:p>
    <w:p>
      <w:pPr>
        <w:spacing w:after="160" w:before="200"/>
      </w:pPr>
      <w:r>
        <w:t xml:space="preserve">Madame la Ministre, Monsieur le Directeur général,</w:t>
      </w:r>
    </w:p>
    <w:p>
      <w:pPr>
        <w:spacing w:after="160"/>
      </w:pPr>
      <w:r>
        <w:t xml:space="preserve">Les organisations syndicales CGT et SUD Santé Sociaux, représentant les ambulanciers de la fonction publique hospitalière (FPH) au CHU de Toulouse, ont l’honneur de vous soumettre la présente saisine aux fins d’obtenir la révision du classement statutaire du corps des ambulanciers hospitaliers, actuellement maintenu en catégorie C en application du décret n° 2022-1658 du 26 décembre 2022, en vue de son passage en catégorie B.</w:t>
      </w:r>
    </w:p>
    <w:p>
      <w:pPr>
        <w:spacing w:after="160"/>
      </w:pPr>
      <w:r>
        <w:t xml:space="preserve">Cette demande n’est pas une revendication salariale isolée : elle est la conséquence logique et documentée d’une quadruple réalité — un référentiel de formation dépassé par les missions exercées, un précédent statutaire créant une iniquité de traitement entre corps comparables, un risque professionnel cumulatif objectivé par huit sources institutionnelles nationales, et une pratique de classement hétérogène constatée sur pièces dans plusieurs établissements.</w:t>
      </w:r>
    </w:p>
    <w:p>
      <w:pPr>
        <w:pStyle w:val="Heading1"/>
      </w:pPr>
      <w:r>
        <w:t xml:space="preserve">I. Contexte réglementaire et situation actuelle</w:t>
      </w:r>
    </w:p>
    <w:p>
      <w:pPr>
        <w:pStyle w:val="Heading2"/>
      </w:pPr>
      <w:r>
        <w:t xml:space="preserve">1.1 Un rattachement à la filière soignante sans révision catégorielle</w:t>
      </w:r>
    </w:p>
    <w:p>
      <w:pPr>
        <w:spacing w:after="160"/>
      </w:pPr>
      <w:r>
        <w:t xml:space="preserve">Le décret n° 2022-1658 du 26 décembre 2022 a procédé à l’intégration des ambulanciers hospitaliers dans la filière soignante de la FPH. Il reconnaît formellement le caractère soignant de leurs missions (articles L. 4393-1 et R. 6311-17 CSP) mais maintient le corps en catégorie C, créant une contradiction manifeste entre reconnaissance de principe et positionnement indiciaire.</w:t>
      </w:r>
    </w:p>
    <w:p>
      <w:pPr>
        <w:pStyle w:val="Heading2"/>
      </w:pPr>
      <w:r>
        <w:t xml:space="preserve">1.2 L’iniquité de traitement avec les aides-soignants — précédent Ségur</w:t>
      </w:r>
    </w:p>
    <w:p>
      <w:pPr>
        <w:spacing w:after="160"/>
      </w:pPr>
      <w:r>
        <w:t xml:space="preserve">Le corps des aides-soignants et auxiliaires de puériculture, titulaire d’un diplôme de niveau 4 RNCP, a été reclassé en catégorie B par le décret n° 2021-1257 du 29 septembre 2021. Les ambulanciers, dont le DEA est identiquement enregistré au niveau 4 du RNCP, n’ont bénéficié d’aucune mesure équivalente.</w:t>
      </w:r>
    </w:p>
    <w:p>
      <w:pPr>
        <w:shd w:fill="EFF4F8" w:val="clear"/>
        <w:spacing w:after="60" w:before="120"/>
      </w:pPr>
      <w:r>
        <w:rPr>
          <w:b/>
          <w:bCs/>
          <w:i/>
          <w:iCs/>
          <w:sz w:val="20"/>
          <w:szCs w:val="20"/>
        </w:rPr>
        <w:t xml:space="preserve">Argument-clé</w:t>
      </w:r>
    </w:p>
    <w:p>
      <w:pPr>
        <w:shd w:fill="EFF4F8" w:val="clear"/>
        <w:spacing w:after="200"/>
      </w:pPr>
      <w:r>
        <w:rPr>
          <w:i/>
          <w:iCs/>
          <w:sz w:val="20"/>
          <w:szCs w:val="20"/>
        </w:rPr>
        <w:t xml:space="preserve">Le groupe de travail ministériel sur la VAE du 7 novembre 2025 a officiellement reconnu que le niveau de compétences exigé pour le DEA « relève sans conteste de la catégorie B de la fonction publique ».</w:t>
      </w:r>
    </w:p>
    <w:p>
      <w:pPr>
        <w:pStyle w:val="Heading2"/>
      </w:pPr>
      <w:r>
        <w:t xml:space="preserve">1.3 Un mouvement social révélateur d’une tension structurelle nationale</w:t>
      </w:r>
    </w:p>
    <w:p>
      <w:pPr>
        <w:spacing w:after="160"/>
      </w:pPr>
      <w:r>
        <w:t xml:space="preserve">Le mouvement de grève engagé au CHU de Toulouse depuis le 7 juin 2026 s’inscrit dans une série de mobilisations inter-CHU documentées : Angers (2021), Tours (2021-2024), Lyon (2022-2024), Marseille (2023-2024).</w:t>
      </w:r>
    </w:p>
    <w:p>
      <w:pPr>
        <w:pStyle w:val="Heading1"/>
      </w:pPr>
      <w:r>
        <w:t xml:space="preserve">II. Huit arguments précis et recevables</w:t>
      </w:r>
    </w:p>
    <w:p>
      <w:pPr>
        <w:pStyle w:val="Heading2"/>
      </w:pPr>
      <w:r>
        <w:t xml:space="preserve">Argument 1 — Un référentiel de formation structurellement dépassé par les missions exercées</w:t>
      </w:r>
    </w:p>
    <w:p>
      <w:pPr>
        <w:spacing w:after="160"/>
      </w:pPr>
      <w:r>
        <w:t xml:space="preserve">Le référentiel du DEA (arrêté du 11 avril 2022 modifié le 4 juillet 2024) structure la formation en cinq blocs centrés sur la prise en soin générale, le recueil de données cliniques, le transport et l’entretien du véhicule. Il ne couvre pas, ou de façon notoirement insuffisante, les missions suivantes :</w:t>
      </w:r>
    </w:p>
    <w:p>
      <w:pPr>
        <w:pStyle w:val="ListParagraph"/>
        <w:numPr>
          <w:ilvl w:val="0"/>
          <w:numId w:val="2"/>
        </w:numPr>
        <w:spacing w:after="120"/>
      </w:pPr>
      <w:r>
        <w:t xml:space="preserve">Transports sous contrainte psychiatrique (3 751 missions en 2025 au CHU de Toulouse), transferts UMD/USIP, réintégrations après fugue ;</w:t>
      </w:r>
    </w:p>
    <w:p>
      <w:pPr>
        <w:pStyle w:val="ListParagraph"/>
        <w:numPr>
          <w:ilvl w:val="0"/>
          <w:numId w:val="2"/>
        </w:numPr>
        <w:spacing w:after="120"/>
      </w:pPr>
      <w:r>
        <w:t xml:space="preserve">Transports pénitentiaires sécurisés (UHSI, UHSA), transferts vers le juge des libertés et de la détention ;</w:t>
      </w:r>
    </w:p>
    <w:p>
      <w:pPr>
        <w:pStyle w:val="ListParagraph"/>
        <w:numPr>
          <w:ilvl w:val="0"/>
          <w:numId w:val="2"/>
        </w:numPr>
        <w:spacing w:after="120"/>
      </w:pPr>
      <w:r>
        <w:t xml:space="preserve">Transports de patients à risque clinique élevé : soins palliatifs, médecine nucléaire, médecine infectieuse, aplasie médullaire, sorties de bloc/réanimation, patients greffés — manipulation de dispositifs invasifs sans formation dédiée ;</w:t>
      </w:r>
    </w:p>
    <w:p>
      <w:pPr>
        <w:pStyle w:val="ListParagraph"/>
        <w:numPr>
          <w:ilvl w:val="0"/>
          <w:numId w:val="2"/>
        </w:numPr>
        <w:spacing w:after="120"/>
      </w:pPr>
      <w:r>
        <w:t xml:space="preserve">Transports mortuaires nocturnes, avec gestion relationnelle des familles en détresse ;</w:t>
      </w:r>
    </w:p>
    <w:p>
      <w:pPr>
        <w:pStyle w:val="ListParagraph"/>
        <w:numPr>
          <w:ilvl w:val="0"/>
          <w:numId w:val="2"/>
        </w:numPr>
        <w:spacing w:after="120"/>
      </w:pPr>
      <w:r>
        <w:t xml:space="preserve">Transports de produits sanguins labiles (PSL) — CHU de Caen Normandie — sans cadre de formation reconnu, hors exigences de la chaîne du froid (arrêté du 10 septembre 2007) ;</w:t>
      </w:r>
    </w:p>
    <w:p>
      <w:pPr>
        <w:pStyle w:val="ListParagraph"/>
        <w:numPr>
          <w:ilvl w:val="0"/>
          <w:numId w:val="2"/>
        </w:numPr>
        <w:spacing w:after="120"/>
      </w:pPr>
      <w:r>
        <w:t xml:space="preserve">Participation aux Plans Blancs et à la médecine de catastrophe, y compris en remplacement partiel des équipes SAMU.</w:t>
      </w:r>
    </w:p>
    <w:p>
      <w:pPr>
        <w:spacing w:after="160"/>
      </w:pPr>
      <w:r>
        <w:rPr>
          <w:i/>
          <w:iCs/>
          <w:color w:val="555555"/>
          <w:sz w:val="18"/>
          <w:szCs w:val="18"/>
        </w:rPr>
        <w:t xml:space="preserve">CHU de Toulouse, données d’activité Transport Patients 2025 : 56 843 transports patients au total, dont 3 751 transports psychiatriques sous contrainte et 4 033 transports urgences.</w:t>
      </w:r>
    </w:p>
    <w:p>
      <w:pPr>
        <w:pStyle w:val="Heading2"/>
      </w:pPr>
      <w:r>
        <w:t xml:space="preserve">Argument 2 — Le précédent Ségur — iniquité de traitement objectivée entre corps de niveau équivalent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Critère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Aides-soignants (AS)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Ambulanciers FPH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Diplôme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DEAS — Niveau 4 RNCP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DEA — Niveau 4 RNCP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Catégorie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 depuis le 1er octobre 2021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 maintenue à ce jour</w:t>
            </w:r>
          </w:p>
        </w:tc>
      </w:tr>
    </w:tbl>
    <w:p>
      <w:pPr>
        <w:pStyle w:val="Heading2"/>
      </w:pPr>
      <w:r>
        <w:t xml:space="preserve">Argument 3 — Le déficit de formation : l’angle d’attaque le plus difficile à réfuter</w:t>
      </w:r>
    </w:p>
    <w:p>
      <w:pPr>
        <w:spacing w:after="160"/>
      </w:pPr>
      <w:r>
        <w:t xml:space="preserve">Le dossier AFASH (version 02/2026) documente 12 compétences spécifiques exercées par l’ambulancier SMUR sans cadre de formation ni reconnaissance RNCP, et recense 24 missions sur 32 hors périmètre DEA/décret n° 2022-629.</w:t>
      </w:r>
    </w:p>
    <w:p>
      <w:pPr>
        <w:pStyle w:val="Heading2"/>
      </w:pPr>
      <w:r>
        <w:t xml:space="preserve">Argument 4 — Un risque professionnel cumulatif objectivé par huit sources institutionnelles</w:t>
      </w:r>
    </w:p>
    <w:p>
      <w:pPr>
        <w:spacing w:after="160"/>
      </w:pPr>
      <w:r>
        <w:t xml:space="preserve">Accidentologie 2,5× supérieure à la moyenne des professions de santé (Sécurité Routière 2023) ; 57 à 93 % des ambulanciers victimes de violence sur carrière (rapport sécurité professionnels de santé 2025).</w:t>
      </w:r>
    </w:p>
    <w:p>
      <w:pPr>
        <w:pStyle w:val="Heading2"/>
      </w:pPr>
      <w:r>
        <w:t xml:space="preserve">Argument 5 — L’incidence directe du Plan « Zéro contention 2030 » sur le risque en transport</w:t>
      </w:r>
    </w:p>
    <w:p>
      <w:pPr>
        <w:spacing w:after="160"/>
      </w:pPr>
      <w:r>
        <w:t xml:space="preserve">L’objectif national « zéro contention » en psychiatrie à l’horizon 2030 déplace mécaniquement une partie du risque comportemental vers la phase de transport, sans qu’aucun levier annoncé ne vise les professionnels du transport sanitaire.</w:t>
      </w:r>
    </w:p>
    <w:p>
      <w:pPr>
        <w:pStyle w:val="Heading2"/>
      </w:pPr>
      <w:r>
        <w:t xml:space="preserve">Argument 6 — Privatisation croissante et argument économique recevable par le DGOS</w:t>
      </w:r>
    </w:p>
    <w:p>
      <w:pPr>
        <w:spacing w:after="160"/>
      </w:pPr>
      <w:r>
        <w:t xml:space="preserve">Le coût annuel d’un passage en catégorie B pour 50 ambulanciers (150 000 à 200 000 €) est inférieur au seul surcoût de l’intérim pour 20 % des postes (90 000–150 000 €).</w:t>
      </w:r>
    </w:p>
    <w:p>
      <w:pPr>
        <w:pStyle w:val="Heading2"/>
      </w:pPr>
      <w:r>
        <w:t xml:space="preserve">Argument 7 — Sinistralité routière, abandon de protection institutionnelle et coût humain</w:t>
      </w:r>
    </w:p>
    <w:p>
      <w:pPr>
        <w:spacing w:after="160"/>
      </w:pPr>
      <w:r>
        <w:t xml:space="preserve">Le témoignage d’une ambulancière du CHG Marchant (Toulouse), victime d’une agression routière en juillet 2017, abandonnée par sa direction, illustre un mécanisme systémique d’abandon de protection sociale et de précarité indiciaire empêchant l’accès à la défense juridique.</w:t>
      </w:r>
    </w:p>
    <w:p>
      <w:pPr>
        <w:pStyle w:val="Heading2"/>
      </w:pPr>
      <w:r>
        <w:t xml:space="preserve">Argument 8 — Une pratique de classement statutaire hétérogène et discriminante, documentée sur pièces dans quatre CHU [NOUVEAU — 30/06/2026]</w:t>
      </w:r>
    </w:p>
    <w:p>
      <w:pPr>
        <w:spacing w:after="160"/>
      </w:pPr>
      <w:r>
        <w:t xml:space="preserve">L’examen comparé de bulletins de paie d’ambulanciers internes en poste dans quatre centres hospitaliers universitaires (Montpellier, Tours, Caen Normandie, Toulouse) révèle que le déficit de reconnaissance statutaire ne se limite pas à un maintien généralisé en catégorie C : dans plusieurs établissements, des agents exerçant en réalité des missions de transport sanitaire hospitalier sont classés sur des grades de catégorie C étrangers au corps des ambulanciers lui-même, sans lien avec le DEA qu’ils détiennent.</w:t>
      </w:r>
    </w:p>
    <w:p>
      <w:pPr>
        <w:pStyle w:val="ListParagraph"/>
        <w:numPr>
          <w:ilvl w:val="0"/>
          <w:numId w:val="2"/>
        </w:numPr>
        <w:spacing w:after="120"/>
      </w:pPr>
      <w:r>
        <w:rPr>
          <w:b/>
          <w:bCs/>
        </w:rPr>
        <w:t xml:space="preserve">CHU de Montpellier </w:t>
      </w:r>
      <w:r>
        <w:t xml:space="preserve">— un ambulancier interne est rémunéré sur le grade 8256 — ASHQ (Agent des Services Hospitaliers Qualifié) classe normale, échelle 8091, indice 366, statut contractuel de remplacement, cotisant à l’IRCANTEC. Aucune mention du métier d’ambulancier n’apparaît sur le bulletin de paie.</w:t>
      </w:r>
    </w:p>
    <w:p>
      <w:pPr>
        <w:pStyle w:val="ListParagraph"/>
        <w:numPr>
          <w:ilvl w:val="0"/>
          <w:numId w:val="2"/>
        </w:numPr>
        <w:spacing w:after="120"/>
      </w:pPr>
      <w:r>
        <w:rPr>
          <w:b/>
          <w:bCs/>
        </w:rPr>
        <w:t xml:space="preserve">CHU de Toulouse </w:t>
      </w:r>
      <w:r>
        <w:t xml:space="preserve">— au sein du même établissement, un second agent affecté à des missions de transport sanitaire est classé sur le grade AEQ (Agent d’Entretien Qualifié), échelle C3, échelon 07, indice majoré 420 — alors qu’un autre ambulancier du même CHU est reconnu au grade « Ambulancier » (échelle NC2, indice 377). Deux classements coexistent ainsi pour des missions comparables, au sein du même établissement.</w:t>
      </w:r>
    </w:p>
    <w:p>
      <w:pPr>
        <w:pStyle w:val="ListParagraph"/>
        <w:numPr>
          <w:ilvl w:val="0"/>
          <w:numId w:val="2"/>
        </w:numPr>
        <w:spacing w:after="120"/>
      </w:pPr>
      <w:r>
        <w:rPr>
          <w:b/>
          <w:bCs/>
        </w:rPr>
        <w:t xml:space="preserve">CHU de Tours et CHU de Caen Normandie </w:t>
      </w:r>
      <w:r>
        <w:t xml:space="preserve">— le grade « Ambulancier » (code 4338) y est correctement attribué, mais avec des écarts d’indice (374 contre 367) et de statut (titulaire à Tours, contractuel à Caen) qui se traduisent par un régime de retraite différent (CNRACL contre IRCANTEC) pour un même intitulé de poste.</w:t>
      </w:r>
    </w:p>
    <w:p>
      <w:pPr>
        <w:spacing w:after="160"/>
      </w:pPr>
      <w:r>
        <w:t xml:space="preserve">Sur la base du volume horaire identique (151,67 h mensuelles) déclaré sur l’ensemble de ces bulletins, l’écart de rémunération nette mensuelle entre l’agent le moins bien classé (Montpellier, ASHQ, 1 767,12 € net) et l’agent le mieux classé (Toulouse, grade AEQ à indice 420, 2 412,48 € net) atteint 645,36 €, soit près de 7 750 € par an — pour des agents exerçant le même métier.</w:t>
      </w:r>
    </w:p>
    <w:p>
      <w:pPr>
        <w:shd w:fill="EFF4F8" w:val="clear"/>
        <w:spacing w:after="60" w:before="120"/>
      </w:pPr>
      <w:r>
        <w:rPr>
          <w:b/>
          <w:bCs/>
          <w:i/>
          <w:iCs/>
          <w:sz w:val="20"/>
          <w:szCs w:val="20"/>
        </w:rPr>
        <w:t xml:space="preserve">Argument-clé</w:t>
      </w:r>
    </w:p>
    <w:p>
      <w:pPr>
        <w:shd w:fill="EFF4F8" w:val="clear"/>
        <w:spacing w:after="200"/>
      </w:pPr>
      <w:r>
        <w:rPr>
          <w:i/>
          <w:iCs/>
          <w:sz w:val="20"/>
          <w:szCs w:val="20"/>
        </w:rPr>
        <w:t xml:space="preserve">Cette pratique de classement par défaut sur des grilles ASHQ ou AEQ — constatée dans deux établissements distincts, avec deux intitulés de grade différents, et y compris au sein d’un même CHU — démontre que l’absence de cadre statutaire unifié pour les ambulanciers de la FPH ne produit pas seulement un sous-classement en catégorie C : elle ouvre la voie à un classement discrétionnaire sur des grilles sans aucun rapport avec le DEA, au mépris du décret n° 2022-1658. C’est un argument de rupture d’égalité de traitement entre agents publics exerçant les mêmes missions, recevable devant le Conseil supérieur de la fonction publique hospitalière et de nature à appuyer une clarification réglementaire contraignante — et non plus seulement incitative — du classement du corps des ambulanciers.</w:t>
      </w:r>
    </w:p>
    <w:p>
      <w:pPr>
        <w:spacing w:after="160"/>
      </w:pPr>
      <w:r>
        <w:rPr>
          <w:i/>
          <w:iCs/>
          <w:color w:val="555555"/>
          <w:sz w:val="18"/>
          <w:szCs w:val="18"/>
        </w:rPr>
        <w:t xml:space="preserve">Pièces jointes à la présente saisine : bulletins de paie (mai 2026, avril 2026) des quatre établissements cités, anonymisés.</w:t>
      </w:r>
    </w:p>
    <w:p>
      <w:pPr>
        <w:pStyle w:val="Heading1"/>
      </w:pPr>
      <w:r>
        <w:t xml:space="preserve">III. Proposition opérationnelle — Module de compétences complémentaire au DEA (MHS)</w:t>
      </w:r>
    </w:p>
    <w:p>
      <w:pPr>
        <w:spacing w:after="160"/>
      </w:pPr>
      <w:r>
        <w:t xml:space="preserve">Module Missions Hospitalières Spécifiques (MHS), sur le modèle de la formation d’adaptation à l’emploi des ambulanciers SMUR (arrêté du 17 mai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Module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Contenu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Contrainte et agressivité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Désescalade sans contention mécanique, transferts UMD/USIP.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Transports sécurisés et pénitentiaires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Conduite sous escorte, transferts UHSI/UHSA.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Patients fragiles, risque infectieux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Radioprotection, fin de vie, asepsie renforcée, dispositifs invasifs.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Transports mortuaires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Cadre réglementaire, posture relationnelle.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Plan Blanc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Organisation chaîne médicale des secours.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Maintenance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Contrôles et dépannage de premier niveau.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Spécificités SMUR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Assistance gestes de réanimation, damage control, NRBC, SSE.</w:t>
            </w:r>
          </w:p>
        </w:tc>
      </w:tr>
    </w:tbl>
    <w:p>
      <w:pPr>
        <w:pStyle w:val="Heading1"/>
      </w:pPr>
      <w:r>
        <w:t xml:space="preserve">IV. Demandes formelles</w:t>
      </w:r>
    </w:p>
    <w:p>
      <w:pPr>
        <w:pStyle w:val="ListParagraph"/>
        <w:numPr>
          <w:ilvl w:val="0"/>
          <w:numId w:val="2"/>
        </w:numPr>
        <w:spacing w:after="120"/>
      </w:pPr>
      <w:r>
        <w:t xml:space="preserve">Ouverture d’une concertation formelle avec la DGOS, la DGAFP et le CSFPH en vue d’une révision du décret n° 2022-1658, aux fins de reclassement en catégorie B ;</w:t>
      </w:r>
    </w:p>
    <w:p>
      <w:pPr>
        <w:pStyle w:val="ListParagraph"/>
        <w:numPr>
          <w:ilvl w:val="0"/>
          <w:numId w:val="2"/>
        </w:numPr>
        <w:spacing w:after="120"/>
      </w:pPr>
      <w:r>
        <w:t xml:space="preserve">Inscription de cette révision statutaire à l’ordre du jour d’une prochaine instance de dialogue social national de la FPH ;</w:t>
      </w:r>
    </w:p>
    <w:p>
      <w:pPr>
        <w:pStyle w:val="ListParagraph"/>
        <w:numPr>
          <w:ilvl w:val="0"/>
          <w:numId w:val="2"/>
        </w:numPr>
        <w:spacing w:after="120"/>
      </w:pPr>
      <w:r>
        <w:t xml:space="preserve">Saisine du Haut Conseil des professions paramédicales (HCPP) pour intégrer le Module MHS au référentiel du DEA ;</w:t>
      </w:r>
    </w:p>
    <w:p>
      <w:pPr>
        <w:pStyle w:val="ListParagraph"/>
        <w:numPr>
          <w:ilvl w:val="0"/>
          <w:numId w:val="2"/>
        </w:numPr>
        <w:spacing w:after="120"/>
      </w:pPr>
      <w:r>
        <w:t xml:space="preserve">Intégration explicite des ambulanciers de la FPH au volet formation du Plan « Zéro contention 2030 » ;</w:t>
      </w:r>
    </w:p>
    <w:p>
      <w:pPr>
        <w:pStyle w:val="ListParagraph"/>
        <w:numPr>
          <w:ilvl w:val="0"/>
          <w:numId w:val="2"/>
        </w:numPr>
        <w:spacing w:after="120"/>
      </w:pPr>
      <w:r>
        <w:rPr>
          <w:b w:val="false"/>
          <w:bCs w:val="false"/>
        </w:rPr>
        <w:t xml:space="preserve">Une instruction nationale contraignante de la DGOS rappelant aux établissements que les agents détenteurs du DEA et exerçant les missions d’ambulancier doivent être classés sur le grade « Ambulancier » du corps créé par le décret n° 2022-1658, à l’exclusion de tout autre grade de catégorie C (ASHQ, AEQ ou équivalent), assortie d’un contrôle de conformité auprès des CHU concernés ; </w:t>
      </w:r>
    </w:p>
    <w:p>
      <w:pPr>
        <w:pStyle w:val="ListParagraph"/>
        <w:numPr>
          <w:ilvl w:val="0"/>
          <w:numId w:val="2"/>
        </w:numPr>
        <w:spacing w:after="120"/>
      </w:pPr>
      <w:r>
        <w:t xml:space="preserve">Entretien avec les représentants des organisations syndicales signataires afin d’examiner les modalités d’un calendrier de mise en œuvre.</w:t>
      </w:r>
    </w:p>
    <w:p>
      <w:pPr>
        <w:pStyle w:val="Heading1"/>
      </w:pPr>
      <w:r>
        <w:t xml:space="preserve">V. Références juridiques et réglementaires</w:t>
      </w:r>
    </w:p>
    <w:p>
      <w:pPr>
        <w:spacing w:after="160"/>
      </w:pPr>
      <w:r>
        <w:rPr>
          <w:sz w:val="20"/>
          <w:szCs w:val="20"/>
        </w:rPr>
        <w:t xml:space="preserve">Décret n° 2022-1658 du 26 décembre 2022 · Décret n° 2021-1257 du 29 septembre 2021 · Arrêté du 11 avril 2022 modifié le 4 juillet 2024 · Arrêté du 17 mai 2023 (FAE SMUR) · Articles L. 4393-1 et R. 6311-17 CSP · Annonce ministérielle Plan « Zéro contention 2030 » du 2 juin 2026 · Groupe de travail ministériel VAE du 7 novembre 2025 · Arrêté du 10 septembre 2007 relatif aux bonnes pratiques transfusionnelles · Bulletins de paie comparés, CHU de Montpellier, Tours, Caen Normandie et Toulouse, avril-mai 2026.</w:t>
      </w:r>
    </w:p>
    <w:p>
      <w:pPr>
        <w:pStyle w:val="Heading1"/>
      </w:pPr>
      <w:r>
        <w:t xml:space="preserve">Pièce jointe — Synthèse exécutive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Argument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Fait clé</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Iniquité statutaire Ségur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AS (niveau 4 RNCP) → catégorie B en 2021. Ambulanciers (niveau 4 RNCP) → catégorie C maintenue.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Décrets 2021-1257 / 2022-1658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Référentiel dépassé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3 751 transports sous contrainte non couverts. Transports PSL (Caen) hors cadre certifiant.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Données CHU Toulouse 2025 · Constat Caen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Tension RH nationale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4 490 postes à pourvoir · 78 % d’entreprises en difficulté · turnover 18 %.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BMO France Travail 2026 · FNTS 2024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Risque violence et accidentologie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90 victimes ambulancières (ONVS 2023) · accidentologie 2,5× supérieure.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ONVS 2025 · Sécurité Routière 2023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Privatisation &amp; économie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Coût passage en B (50 agents) : 150-200 k€ &lt; surcoût intérim (90-150 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FHF/ANAP · Hoppi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Sinistralité &amp; abandon institutionnel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Témoignage CHG Marchant : agression 2017, 10 mois AT, gain de cause mi-2024.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Témoignage juin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Disparités statutaires nationales [nouveau]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Grades ASHQ (Montpellier) et AEQ (Toulouse) constatés pour des ambulanciers en poste. Écart net jusqu’à 645€/mois entre CHU pour le même métier.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Bulletins de paie comparés, 4 CHU, avril-mai 2026</w:t>
            </w:r>
          </w:p>
        </w:tc>
      </w:tr>
    </w:tbl>
    <w:p>
      <w:pPr>
        <w:spacing w:after="160" w:before="200"/>
      </w:pPr>
      <w:r>
        <w:rPr>
          <w:b/>
          <w:bCs/>
        </w:rPr>
        <w:t xml:space="preserve">Module MHS — 7 modules : M1 Contrainte/agressivité · M2 Transports pénitentiaires · M3 Patients fragiles · M4 Transports mortuaires · M5 Plan Blanc · M6 Maintenance · M7 SMUR.</w:t>
      </w:r>
    </w:p>
    <w:p>
      <w:pPr>
        <w:spacing w:before="400"/>
      </w:pPr>
      <w:r>
        <w:t xml:space="preserve">Fait à Toulouse, le 30 juin 2026</w:t>
      </w:r>
    </w:p>
    <w:p>
      <w:pPr>
        <w:spacing w:after="160" w:before="100"/>
      </w:pPr>
      <w:r>
        <w:t xml:space="preserve">Pour la CGT : Julien TERRE · Sébastien GOUSSY    Pour SUD Santé Sociaux : Victor ALAVA</w:t>
      </w:r>
    </w:p>
    <w:p>
      <w:pPr>
        <w:spacing w:after="160"/>
      </w:pPr>
      <w:r>
        <w:t xml:space="preserve">Représentants du personnel ambulancier : Laurent BEZIA · Jérôme JEAN-CHARLES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Document intersyndicale — Usage officiel — Diffusion restreinte aux destinataires mentionnés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777777"/>
        <w:sz w:val="16"/>
        <w:szCs w:val="16"/>
      </w:rPr>
      <w:t xml:space="preserve">★ SAISINE — CATÉGORIE B AMBULANCIERS FPH — Mise à jour 30 juin 2026 (Argument 8 : disparités statutaires nationales)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160" w:before="280"/>
      <w:outlineLvl w:val="0"/>
    </w:pPr>
    <w:rPr>
      <w:rFonts w:ascii="Arial" w:cs="Arial" w:eastAsia="Arial" w:hAnsi="Arial"/>
      <w:b/>
      <w:bCs/>
      <w:color w:val="FFFFFF"/>
      <w:sz w:val="26"/>
      <w:szCs w:val="26"/>
    </w:rPr>
  </w:style>
  <w:style w:type="paragraph" w:styleId="Heading2">
    <w:name w:val="Heading 2"/>
    <w:basedOn w:val="Normal"/>
    <w:next w:val="Normal"/>
    <w:qFormat/>
    <w:pPr>
      <w:spacing w:after="120" w:before="22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2026-06-30T11:31:04.729Z</dcterms:created>
  <dcterms:modified xsi:type="dcterms:W3CDTF">2026-06-30T11:31:04.729Z</dcterms:modified>
</cp:coreProperties>
</file>

<file path=docProps/custom.xml><?xml version="1.0" encoding="utf-8"?>
<Properties xmlns="http://schemas.openxmlformats.org/officeDocument/2006/custom-properties" xmlns:vt="http://schemas.openxmlformats.org/officeDocument/2006/docPropsVTypes"/>
</file>