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36"/>
          <w:szCs w:val="36"/>
        </w:rPr>
        <w:t xml:space="preserve">STRATÉGIE ARGUMENTAIRE</w:t>
      </w:r>
    </w:p>
    <w:p>
      <w:pPr>
        <w:spacing w:after="60"/>
        <w:jc w:val="center"/>
      </w:pPr>
      <w:r>
        <w:rPr>
          <w:color w:val="2E5E8C"/>
          <w:sz w:val="26"/>
          <w:szCs w:val="26"/>
        </w:rPr>
        <w:t xml:space="preserve">Pour le passage des ambulanciers hospitaliers en catégorie B</w:t>
      </w:r>
    </w:p>
    <w:p>
      <w:pPr>
        <w:spacing w:after="220"/>
        <w:jc w:val="center"/>
      </w:pPr>
      <w:r>
        <w:rPr>
          <w:i/>
          <w:iCs/>
          <w:color w:val="555555"/>
          <w:sz w:val="20"/>
          <w:szCs w:val="20"/>
        </w:rPr>
        <w:t xml:space="preserve">Note d'appui à la contre-proposition CGT / SUD du 7 juin 2026 — CHU de Toulouse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912A" w:sz="18"/>
              <w:bottom w:val="single" w:color="CCCCCC" w:sz="1"/>
              <w:right w:val="single" w:color="CCCCCC" w:sz="1"/>
            </w:tcBorders>
            <w:shd w:fill="FFF4D6" w:val="clear"/>
            <w:tcMar>
              <w:top w:type="dxa" w:w="140"/>
              <w:left w:type="dxa" w:w="200"/>
              <w:bottom w:type="dxa" w:w="140"/>
              <w:right w:type="dxa" w:w="200"/>
            </w:tcMar>
          </w:tcPr>
          <w:p>
            <w:pPr>
              <w:spacing w:after="80"/>
            </w:pPr>
            <w:r>
              <w:rPr>
                <w:b/>
                <w:bCs/>
                <w:color w:val="8A5A00"/>
                <w:sz w:val="22"/>
                <w:szCs w:val="22"/>
              </w:rPr>
              <w:t xml:space="preserve">Mise à jour du 26 juin 2026 — Extension du module M3</w:t>
            </w:r>
          </w:p>
          <w:p>
            <w:pPr>
              <w:spacing w:after="0"/>
            </w:pPr>
            <w:r>
              <w:rPr>
                <w:sz w:val="20"/>
                <w:szCs w:val="20"/>
              </w:rPr>
              <w:t xml:space="preserve">Cette note intègre la mise à jour apportée par la saisine adressée à la Ministre de la Santé le 24 juin 2026. Le module M3, initialement centré sur les soins palliatifs et la médecine nucléaire, est désormais élargi à l'ensemble des situations de fragilité clinique et de risque infectieux élevé (médecine infectieuse, aplasie médullaire, sorties de bloc et de réanimation, patients greffés). Les passages concernés sont signalés ci-dessous.</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912A" w:sz="18"/>
              <w:bottom w:val="single" w:color="CCCCCC" w:sz="1"/>
              <w:right w:val="single" w:color="CCCCCC" w:sz="1"/>
            </w:tcBorders>
            <w:shd w:fill="FFF4D6" w:val="clear"/>
            <w:tcMar>
              <w:top w:type="dxa" w:w="140"/>
              <w:left w:type="dxa" w:w="200"/>
              <w:bottom w:type="dxa" w:w="140"/>
              <w:right w:type="dxa" w:w="200"/>
            </w:tcMar>
          </w:tcPr>
          <w:p>
            <w:pPr>
              <w:spacing w:after="80"/>
            </w:pPr>
            <w:r>
              <w:rPr>
                <w:b/>
                <w:bCs/>
                <w:color w:val="8A5A00"/>
                <w:sz w:val="22"/>
                <w:szCs w:val="22"/>
              </w:rPr>
              <w:t xml:space="preserve">Mise à jour du 26 juin 2026 (2) — Impact du « Plan zéro contention 2030 »</w:t>
            </w:r>
          </w:p>
          <w:p>
            <w:pPr>
              <w:spacing w:after="0"/>
            </w:pPr>
            <w:r>
              <w:rPr>
                <w:sz w:val="20"/>
                <w:szCs w:val="20"/>
              </w:rPr>
              <w:t xml:space="preserve">Cette note intègre également l'annonce faite le 2 juin 2026 par la ministre de la Santé Stéphanie Rist d'un objectif national de « zéro contention » en psychiatrie à l'horizon 2030, assorti d'un renforcement annoncé de la formation des professionnels à la désescalade. Cette orientation nationale a une incidence directe sur le risque encouru par les ambulanciers lors des transports de patients en situation de crise psychiatrique, et renforce le contenu à prévoir pour le module M1 (voir section III). Les passages concernés sont signalés ci-dessous.</w:t>
            </w:r>
          </w:p>
        </w:tc>
      </w:tr>
    </w:tbl>
    <w:tbl>
      <w:tblPr>
        <w:tblW w:type="dxa" w:w="9360"/>
        <w:tblBorders>
          <w:top w:val="single" w:color="2E7D32" w:sz="4"/>
          <w:left w:val="single" w:color="2E7D32" w:sz="4"/>
          <w:bottom w:val="single" w:color="2E7D32" w:sz="4"/>
          <w:right w:val="single" w:color="2E7D32" w:sz="4"/>
        </w:tblBorders>
        <w:tblCellMar>
          <w:top w:type="dxa" w:w="100"/>
          <w:left w:type="dxa" w:w="200"/>
          <w:bottom w:type="dxa" w:w="100"/>
          <w:right w:type="dxa" w:w="200"/>
        </w:tblCellMar>
      </w:tblPr>
      <w:tblGrid>
        <w:gridCol w:w="9360"/>
      </w:tblGrid>
      <w:tr>
        <w:tc>
          <w:tcPr>
            <w:tcW w:type="dxa" w:w="9360"/>
            <w:tcBorders>
              <w:top w:val="single" w:color="2E7D32" w:sz="4"/>
              <w:left w:val="single" w:color="2E7D32" w:sz="4"/>
              <w:bottom w:val="single" w:color="2E7D32" w:sz="4"/>
              <w:right w:val="single" w:color="2E7D32" w:sz="4"/>
            </w:tcBorders>
            <w:shd w:fill="E8F5E9" w:color="auto" w:val="clear"/>
          </w:tcPr>
          <w:p>
            <w:r>
              <w:rPr>
                <w:b/>
                <w:sz w:val="20"/>
                <w:szCs w:val="20"/>
              </w:rPr>
              <w:t xml:space="preserve">Mise à jour du 27 juin 2026 — Intégration du périmètre SMUR</w:t>
            </w:r>
          </w:p>
          <w:p>
            <w:pPr>
              <w:spacing w:after="0"/>
            </w:pPr>
            <w:r>
              <w:rPr>
                <w:sz w:val="20"/>
                <w:szCs w:val="20"/>
              </w:rPr>
              <w:t xml:space="preserve">Cette note intègre les éléments documentés dans le dossier CGT/SUD « Missions des ambulanciers — Référentiel DEA vs. pratique réelle (CHU Toulouse, établissements psychiatriques &amp; SMUR) » (mis à jour le 27 juin 2026), qui s’appuie lui-même sur le dossier de demande de spécialisation d’ambulancier SMUR porté par l’AFASH (version 02/2026). Un nouveau module M7 « Spécificités ambulancier SMUR » est ajouté à la proposition de bloc de compétences complémentaire (section III), couvrant les dix compétences exercées en pratique par l’ambulancier au sein du trinôme SMUR sans cadre de formation ni reconnaissance au RNCP. La section I (constat) et l’axe 1 (section II) sont également mis à jour pour intégrer ces missions. Le comparatif international (Royaume-Uni, Allemagne, Québec, États-Unis) documenté par l’AFASH renforce l’argument d’équité dans la reconnaissance du statut.</w:t>
            </w:r>
          </w:p>
        </w:tc>
      </w:tr>
    </w:tbl>
    <w:p>
      <w:pPr>
        <w:spacing w:after="100" w:before="0"/>
      </w:pPr>
      <w:r>
        <w:rPr>
          <w:sz w:val="22"/>
          <w:szCs w:val="22"/>
        </w:rPr>
        <w:t xml:space="preserve"/>
      </w:r>
    </w:p>
    <w:p>
      <w:pPr>
        <w:pStyle w:val="Heading1"/>
      </w:pPr>
      <w:r>
        <w:t xml:space="preserve">I. Constat : un décrochage devenu intenable</w:t>
      </w:r>
    </w:p>
    <w:p>
      <w:pPr>
        <w:spacing w:after="120" w:before="0"/>
      </w:pPr>
      <w:r>
        <w:rPr>
          <w:sz w:val="22"/>
          <w:szCs w:val="22"/>
        </w:rPr>
        <w:t xml:space="preserve">Trois constats se cumulent et fondent la légitimité de la revendication catégorielle :</w:t>
      </w:r>
    </w:p>
    <w:p>
      <w:pPr>
        <w:pStyle w:val="ListParagraph"/>
        <w:numPr>
          <w:ilvl w:val="0"/>
          <w:numId w:val="2"/>
        </w:numPr>
        <w:spacing w:after="100"/>
      </w:pPr>
      <w:r>
        <w:rPr>
          <w:sz w:val="22"/>
          <w:szCs w:val="22"/>
        </w:rPr>
        <w:t xml:space="preserve">Une grille salariale aujourd'hui sous le SMIC pour les premiers échelons, alors que le métier suppose un diplôme d'État de niveau 4 et des responsabilités cliniques engageant directement la sécurité du patient.</w:t>
      </w:r>
    </w:p>
    <w:p>
      <w:pPr>
        <w:pStyle w:val="ListParagraph"/>
        <w:numPr>
          <w:ilvl w:val="0"/>
          <w:numId w:val="2"/>
        </w:numPr>
        <w:spacing w:after="100"/>
      </w:pPr>
      <w:r>
        <w:rPr>
          <w:sz w:val="22"/>
          <w:szCs w:val="22"/>
        </w:rPr>
        <w:t xml:space="preserve">Une profession laissée pour compte lors du Ségur de la santé de 2020 : les aides-soignants et auxiliaires de puériculture — diplôme de même niveau, formation de durée comparable — sont passés de la catégorie C à la catégorie B au 1er octobre 2021. Les ambulanciers hospitaliers, eux, ont seulement été rattachés à la filière soignante par le décret n° 2022-1658, sans changement de catégorie : une reconnaissance d'appellation, pas de statut.</w:t>
      </w:r>
    </w:p>
    <w:p>
      <w:pPr>
        <w:pStyle w:val="ListParagraph"/>
        <w:numPr>
          <w:ilvl w:val="0"/>
          <w:numId w:val="2"/>
        </w:numPr>
        <w:spacing w:after="100"/>
      </w:pPr>
      <w:r>
        <w:rPr>
          <w:sz w:val="22"/>
          <w:szCs w:val="22"/>
        </w:rPr>
        <w:t xml:space="preserve">Un référentiel de formation (DEA, arrêté du 11 avril 2022) qui ne couvre plus la réalité du métier exercé au quotidien au CHU de Toulouse comme dans les établissements psychiatriques autonomes (ex. Hôpital Marchant) : transports sous contrainte psychiatrique, transferts vers UMD/USIP, réintégrations après fugue, transports pénitentiaires (UHSI, UHSA), soins palliatifs, médecine nucléaire, transports de patients à risque infectieux élevé (médecine infectieuse, aplasie médullaire), sorties de bloc et de réanimation, patients greffés, transports mortuaires nocturnes, participation aux Plans Blancs. Pour les ambulanciers affectés en SMUR, s'y ajoutent : assistance aux gestes de réanimation (aide à l'intubation, ventilation manuelle BAVU), damage control préhospitalier (garrots, pansements compressifs), gestion de scène complexe et mesures NRBC de base, intervention en Situations Sanitaires Exceptionnelles (SSE), coordination interservices (SDIS, forces de l'ordre, ARS), brancardage et évacuation en milieux hostiles et héliportés (HéliSMUR). Ces missions exposent les agents à des risques (agressivité, charge psychologique, exposition radiologique, risque infectieux, manipulation de dispositifs médicaux invasifs, sécurité routière en urgence, gestes à enjeu vital sans cadre de formation reconnu) pour lesquels ils ne sont pas formés à due proportion — et pour lesquels ils ne sont pas reconnus statutairement.</w:t>
      </w:r>
    </w:p>
    <w:p>
      <w:pPr>
        <w:spacing w:after="120" w:before="0"/>
      </w:pPr>
      <w:r>
        <w:rPr>
          <w:sz w:val="22"/>
          <w:szCs w:val="22"/>
        </w:rPr>
        <w:t xml:space="preserve">C'est l'articulation de ces trois constats — sous-rémunération, exclusion du précédent Ségur, écart missions/formation — qui doit structurer l'argumentaire, et non chacun isolément.</w:t>
      </w:r>
    </w:p>
    <w:p>
      <w:pPr>
        <w:pStyle w:val="Heading1"/>
      </w:pPr>
      <w:r>
        <w:t xml:space="preserve">II. Quatre axes argumentaires</w:t>
      </w:r>
    </w:p>
    <w:p>
      <w:pPr>
        <w:pStyle w:val="Heading2"/>
      </w:pPr>
      <w:r>
        <w:t xml:space="preserve">Axe 1 — L'élargissement de fait des missions, au-delà du référentiel DEA 2022</w:t>
      </w:r>
    </w:p>
    <w:p>
      <w:pPr>
        <w:spacing w:after="120" w:before="0"/>
      </w:pPr>
      <w:r>
        <w:rPr>
          <w:sz w:val="22"/>
          <w:szCs w:val="22"/>
        </w:rPr>
        <w:t xml:space="preserve">Le référentiel de formation du DEA (5 blocs de compétences, arrêté du 11 avril 2022 modifié en 2024) couvre la prise en soin générale du patient (bloc 1), le recueil de données cliniques et la mise en œuvre de soins relevant de l’urgence — sanctionnés par une attestation de formation aux gestes et soins d’urgence de niveau 2 (GSU2), socle minimal et non spécialisé (bloc 2) —, la conduite du véhicule sanitaire (bloc 3), l’entretien du matériel et des installations (bloc 4), ainsi que le travail en équipe et la traçabilité des informations (bloc 5). Il ne couvre pas, ou de façon allusive seulement :</w:t>
      </w:r>
    </w:p>
    <w:p>
      <w:pPr>
        <w:pStyle w:val="ListParagraph"/>
        <w:numPr>
          <w:ilvl w:val="0"/>
          <w:numId w:val="2"/>
        </w:numPr>
        <w:spacing w:after="100"/>
      </w:pPr>
      <w:r>
        <w:rPr>
          <w:sz w:val="22"/>
          <w:szCs w:val="22"/>
        </w:rPr>
        <w:t xml:space="preserve">la gestion de la contrainte et de l'agressivité (transports psychiatriques sous contrainte, transports pénitentiaires sous escorte) — un enjeu accru par l'objectif national « zéro contention 2030 », qui suppose une désescalade renforcée sans appui systématique sur la contention mécanique pendant le transport ; à titre de comparaison, le référentiel DEAS mobilise des intervenants spécialisés (psychologue, formateur FGSU, intervenants du milieu associatif et experts de l’accompagnement de publics spécifiques) que l’on ne retrouve pas parmi les intervenants du DEA (infirmiers, ambulanciers, chefs d’entreprise), alors même que les ambulanciers font face aux mêmes publics en situation de vulnérabilité psychique ;</w:t>
      </w:r>
    </w:p>
    <w:p>
      <w:pPr>
        <w:pStyle w:val="ListParagraph"/>
        <w:numPr>
          <w:ilvl w:val="0"/>
          <w:numId w:val="2"/>
        </w:numPr>
        <w:spacing w:after="100"/>
      </w:pPr>
      <w:r>
        <w:rPr>
          <w:sz w:val="22"/>
          <w:szCs w:val="22"/>
        </w:rPr>
        <w:t xml:space="preserve">la médecine de catastrophe et les Plans Blancs, pourtant exigés en tant que de besoin pour pallier les déficits d'effectifs SAMU ;</w:t>
      </w:r>
    </w:p>
    <w:p>
      <w:pPr>
        <w:pStyle w:val="ListParagraph"/>
        <w:numPr>
          <w:ilvl w:val="0"/>
          <w:numId w:val="2"/>
        </w:numPr>
        <w:spacing w:after="100"/>
      </w:pPr>
      <w:r>
        <w:rPr>
          <w:b w:val="false"/>
          <w:bCs w:val="false"/>
          <w:sz w:val="22"/>
          <w:szCs w:val="22"/>
        </w:rPr>
        <w:t xml:space="preserve">l'accompagnement de patients fragiles et à risque infectieux élevé : soins palliatifs et médecine nucléaire (radioprotection, accompagnement de fin de vie), mais aussi médecine infectieuse et aplasie médullaire (immunodépression sévère liée à une hémopathie ou une chimiothérapie), sorties de bloc opératoire et de réanimation, et patients greffés (organes solides ou greffe de moelle osseuse) ;</w:t>
      </w:r>
    </w:p>
    <w:p>
      <w:pPr>
        <w:pStyle w:val="ListParagraph"/>
        <w:numPr>
          <w:ilvl w:val="0"/>
          <w:numId w:val="2"/>
        </w:numPr>
        <w:spacing w:after="100"/>
      </w:pPr>
      <w:r>
        <w:rPr>
          <w:sz w:val="22"/>
          <w:szCs w:val="22"/>
        </w:rPr>
        <w:t xml:space="preserve">la gestion relationnelle des situations de transport mortuaire face à des familles en détresse ;</w:t>
      </w:r>
    </w:p>
    <w:p>
      <w:pPr>
        <w:pStyle w:val="ListParagraph"/>
        <w:numPr>
          <w:ilvl w:val="0"/>
          <w:numId w:val="2"/>
        </w:numPr>
        <w:spacing w:after="100"/>
      </w:pPr>
      <w:r>
        <w:rPr>
          <w:sz w:val="22"/>
          <w:szCs w:val="22"/>
        </w:rPr>
        <w:t xml:space="preserve">pour les ambulanciers affectés en SMUR (au sein du trinôme médecin–infirmier–ambulancier) : assistance aux gestes de réanimation (aide à l’intubation, ventilation manuelle BAVU), damage control préhospitalier (garrots, pansements compressifs, priorisation hémorragie–ventilation), préparation de perfusion pour l’IDE, gestion de scène complexe et mesures NRBC de base, intervention en Situations Sanitaires Exceptionnelles (plans ORSEC, plan blanc, plan rouge, tri et pré-tri), coordination interservices (SDIS, forces de l’ordre, ARS, SAMU), brancardage et évacuation en milieux hostiles ou héliportés (HéliSMUR), débriefing structuré post-intervention — toutes compétences exercées en pratique sans aucune reconnaissance ni cadre de formation national selon le dossier AFASH (version 02/2026) ;</w:t>
      </w:r>
    </w:p>
    <w:p>
      <w:pPr>
        <w:pStyle w:val="ListParagraph"/>
        <w:numPr>
          <w:ilvl w:val="0"/>
          <w:numId w:val="2"/>
        </w:numPr>
        <w:spacing w:after="100"/>
      </w:pPr>
      <w:r>
        <w:rPr>
          <w:sz w:val="22"/>
          <w:szCs w:val="22"/>
        </w:rPr>
        <w:t xml:space="preserve">les gestes de dépannage de premier niveau nécessitant un outillage dédié, évoqués dans la fiche de poste proposée par la Direction : le référentiel DEA (bloc 4) couvre bien l’entretien courant du véhicule et le signalement des anomalies et dysfonctionnements, mais ne prévoit aucune formation aux gestes de dépannage outillé proprement dits, qui restent à ce jour hors référentiel.</w:t>
      </w:r>
    </w:p>
    <w:p>
      <w:pPr>
        <w:spacing w:after="120" w:before="0"/>
      </w:pPr>
      <w:r>
        <w:rPr>
          <w:i/>
          <w:iCs/>
          <w:sz w:val="22"/>
          <w:szCs w:val="22"/>
        </w:rPr>
        <w:t xml:space="preserve">Argument-clé : un agent qui exerce des missions non couvertes par son référentiel de formation initiale engage sa responsabilité personnelle sans filet de compétence reconnu. C'est un argument de sécurité patient et de protection de l'agent, pas seulement de revalorisation — donc difficilement contournable par la Direction.</w:t>
      </w:r>
    </w:p>
    <w:p>
      <w:pPr>
        <w:pStyle w:val="Heading2"/>
      </w:pPr>
      <w:r>
        <w:t xml:space="preserve">Axe 2 — Le précédent du Ségur : même niveau de diplôme, statut différencié</w:t>
      </w:r>
    </w:p>
    <w:p>
      <w:pPr>
        <w:spacing w:after="120" w:before="0"/>
      </w:pPr>
      <w:r>
        <w:rPr>
          <w:sz w:val="22"/>
          <w:szCs w:val="22"/>
        </w:rPr>
        <w:t xml:space="preserve">L'argument comparatif avec les aides-soignants doit être présenté de façon factuelle et chiffrée, sans déclaration de principe :</w:t>
      </w:r>
    </w:p>
    <w:p>
      <w:pPr>
        <w:pStyle w:val="ListParagraph"/>
        <w:numPr>
          <w:ilvl w:val="0"/>
          <w:numId w:val="2"/>
        </w:numPr>
        <w:spacing w:after="100"/>
      </w:pPr>
      <w:r>
        <w:rPr>
          <w:sz w:val="22"/>
          <w:szCs w:val="22"/>
        </w:rPr>
        <w:t xml:space="preserve">DEAS et DEA : diplômes d’État, tous deux enregistrés au niveau 4 du cadre national des certifications professionnelles. Les durées de formation diffèrent sensiblement (DEA : 801 heures, soit 6 mois en formation initiale ou 12 mois en alternance ; DEAS : 1 540 heures, soit 770 heures d’enseignement théorique et 770 heures de stage pratique, réparties sur 22 semaines chacune, ou 18 mois en apprentissage) : la comparaison ne repose donc pas sur une parité horaire, mais sur le niveau de certification (niveau 4 RNCP pour les deux diplômes) et sur un niveau de risque clinique et relationnel comparable. Cet écart de durée joue d’ailleurs en faveur de l’argumentaire : les AS bénéficient d’une formation près de deux fois plus longue que les ambulanciers, ce qui rend d’autant moins justifiable le maintien de ces derniers en catégorie C.</w:t>
      </w:r>
    </w:p>
    <w:p>
      <w:pPr>
        <w:pStyle w:val="ListParagraph"/>
        <w:numPr>
          <w:ilvl w:val="0"/>
          <w:numId w:val="2"/>
        </w:numPr>
        <w:spacing w:after="100"/>
      </w:pPr>
      <w:r>
        <w:rPr>
          <w:sz w:val="22"/>
          <w:szCs w:val="22"/>
        </w:rPr>
        <w:t xml:space="preserve">Les deux référentiels ont connu un élargissement comparable de leurs actes autorisés entre 2021 et 2024 (gestes d'urgence pour les ambulanciers ; actes techniques élargis — glycémie capillaire, SpO2, soins de stomie — pour les AS).</w:t>
      </w:r>
    </w:p>
    <w:p>
      <w:pPr>
        <w:pStyle w:val="ListParagraph"/>
        <w:numPr>
          <w:ilvl w:val="0"/>
          <w:numId w:val="2"/>
        </w:numPr>
        <w:spacing w:after="100"/>
      </w:pPr>
      <w:r>
        <w:rPr>
          <w:sz w:val="22"/>
          <w:szCs w:val="22"/>
        </w:rPr>
        <w:t xml:space="preserve">Les AS sont passés en catégorie B par le décret n° 2021-1257 du 29 septembre 2021, au titre des accords du Ségur de la santé. Les ambulanciers n'ont bénéficié d'aucune mesure catégorielle équivalente : le décret n° 2022-1658 (26 décembre 2022) les a rattachés à la filière soignante, mais maintenus en catégorie C.</w:t>
      </w:r>
    </w:p>
    <w:p>
      <w:pPr>
        <w:spacing w:after="120" w:before="0"/>
      </w:pPr>
      <w:r>
        <w:rPr>
          <w:i/>
          <w:iCs/>
          <w:sz w:val="22"/>
          <w:szCs w:val="22"/>
        </w:rPr>
        <w:t xml:space="preserve">Argument-clé : il ne s'agit pas de revendiquer un privilège, mais de corriger une iniquité de traitement entre deux corps de diplôme et de niveau de risque comparables, l'un revalorisé en 2021, l'autre non.</w:t>
      </w:r>
    </w:p>
    <w:p>
      <w:pPr>
        <w:pStyle w:val="Heading2"/>
      </w:pPr>
      <w:r>
        <w:t xml:space="preserve">Axe 3 — Un déficit de formation qui constitue, en creux, l'argument le plus solide</w:t>
      </w:r>
    </w:p>
    <w:p>
      <w:pPr>
        <w:spacing w:after="120" w:before="0"/>
      </w:pPr>
      <w:r>
        <w:rPr>
          <w:sz w:val="22"/>
          <w:szCs w:val="22"/>
        </w:rPr>
        <w:t xml:space="preserve">Paradoxalement, le point faible apparent (absence de formation aux missions réellement exercées) est l'angle d'attaque le plus difficile à réfuter pour une Direction :</w:t>
      </w:r>
    </w:p>
    <w:p>
      <w:pPr>
        <w:pStyle w:val="ListParagraph"/>
        <w:numPr>
          <w:ilvl w:val="0"/>
          <w:numId w:val="2"/>
        </w:numPr>
        <w:spacing w:after="100"/>
      </w:pPr>
      <w:r>
        <w:rPr>
          <w:sz w:val="22"/>
          <w:szCs w:val="22"/>
        </w:rPr>
        <w:t xml:space="preserve">Soit la Direction reconnaît que ces missions relèvent bien d'un champ de compétences soignant élargi — ce qui justifie alors la révision du référentiel ET la révision catégorielle qui doit l'accompagner ;</w:t>
      </w:r>
    </w:p>
    <w:p>
      <w:pPr>
        <w:pStyle w:val="ListParagraph"/>
        <w:numPr>
          <w:ilvl w:val="0"/>
          <w:numId w:val="2"/>
        </w:numPr>
        <w:spacing w:after="100"/>
      </w:pPr>
      <w:r>
        <w:rPr>
          <w:sz w:val="22"/>
          <w:szCs w:val="22"/>
        </w:rPr>
        <w:t xml:space="preserve">Soit elle nie cet élargissement de fait — mais alors elle doit retirer ces missions de la fiche de poste, ce que les organisations syndicales ne souhaitent pas (cf. contre-proposition, maintien des transports UHSI, psychiatrie, soins palliatifs, et désormais des transports de patients à risque infectieux élevé).</w:t>
      </w:r>
    </w:p>
    <w:p>
      <w:pPr>
        <w:spacing w:after="120" w:before="0"/>
      </w:pPr>
      <w:r>
        <w:rPr>
          <w:i/>
          <w:iCs/>
          <w:sz w:val="22"/>
          <w:szCs w:val="22"/>
        </w:rPr>
        <w:t xml:space="preserve">Cette alternative place la Direction devant un choix binaire : reconnaître et former (donc revaloriser), ou retirer les missions. C'est le levier de négociation le plus efficace, car il ne repose pas sur une demande abstraite de justice catégorielle mais sur une cohérence interne que la Direction ne peut pas éluder sans fragiliser sa propre fiche de poste.</w:t>
      </w:r>
    </w:p>
    <w:p>
      <w:pPr>
        <w:pStyle w:val="Heading2"/>
      </w:pPr>
      <w:r>
        <w:t xml:space="preserve">Axe 4 — Le décrochage salarial, lu comme un signal d'alerte RH et non comme une simple revendication</w:t>
      </w:r>
    </w:p>
    <w:p>
      <w:pPr>
        <w:spacing w:after="120" w:before="0"/>
      </w:pPr>
      <w:r>
        <w:rPr>
          <w:sz w:val="22"/>
          <w:szCs w:val="22"/>
        </w:rPr>
        <w:t xml:space="preserve">La grille indiciaire actuelle des ambulanciers (catégorie C2/C3) place certains échelons de début de carrière sous le SMIC, ce qui :</w:t>
      </w:r>
    </w:p>
    <w:p>
      <w:pPr>
        <w:pStyle w:val="ListParagraph"/>
        <w:numPr>
          <w:ilvl w:val="0"/>
          <w:numId w:val="2"/>
        </w:numPr>
        <w:spacing w:after="100"/>
      </w:pPr>
      <w:r>
        <w:rPr>
          <w:sz w:val="22"/>
          <w:szCs w:val="22"/>
        </w:rPr>
        <w:t xml:space="preserve">crée une difficulté de recrutement et de fidélisation objectivement mesurable (turnover, postes non pourvus) ;</w:t>
      </w:r>
    </w:p>
    <w:p>
      <w:pPr>
        <w:pStyle w:val="ListParagraph"/>
        <w:numPr>
          <w:ilvl w:val="0"/>
          <w:numId w:val="2"/>
        </w:numPr>
        <w:spacing w:after="100"/>
      </w:pPr>
      <w:r>
        <w:rPr>
          <w:sz w:val="22"/>
          <w:szCs w:val="22"/>
        </w:rPr>
        <w:t xml:space="preserve">expose l'établissement à un risque de contentieux ou de a minima de tension sociale récurrente — le mouvement de grève en cours en étant la démonstration ;</w:t>
      </w:r>
    </w:p>
    <w:p>
      <w:pPr>
        <w:pStyle w:val="ListParagraph"/>
        <w:numPr>
          <w:ilvl w:val="0"/>
          <w:numId w:val="2"/>
        </w:numPr>
        <w:spacing w:after="100"/>
      </w:pPr>
      <w:r>
        <w:rPr>
          <w:sz w:val="22"/>
          <w:szCs w:val="22"/>
        </w:rPr>
        <w:t xml:space="preserve">contredit le discours institutionnel sur la reconnaissance du caractère soignant du métier (décret n° 2022-1658) : on ne peut affirmer reconnaître une filière soignante tout en maintenant sa grille en catégorie C sous le seuil du SMIC.</w:t>
      </w:r>
    </w:p>
    <w:p>
      <w:pPr>
        <w:spacing w:after="120" w:before="0"/>
      </w:pPr>
      <w:r>
        <w:rPr>
          <w:i/>
          <w:iCs/>
          <w:sz w:val="22"/>
          <w:szCs w:val="22"/>
        </w:rPr>
        <w:t xml:space="preserve">Argument-clé : présenter le passage en catégorie B non comme une charge supplémentaire mais comme un investissement en stabilité RH, comparé au coût des grèves, du recours à l'intérim ou aux heures supplémentaires non anticipées.</w:t>
      </w:r>
    </w:p>
    <w:p>
      <w:pPr>
        <w:pStyle w:val="Heading1"/>
      </w:pPr>
      <w:r>
        <w:t xml:space="preserve">III. Proposition opérationnelle : un bloc de compétences complémentaire au DEA</w:t>
      </w:r>
    </w:p>
    <w:p>
      <w:pPr>
        <w:spacing w:after="120" w:before="0"/>
      </w:pPr>
      <w:r>
        <w:rPr>
          <w:sz w:val="22"/>
          <w:szCs w:val="22"/>
        </w:rPr>
        <w:t xml:space="preserve">Pour transformer l'argument « missions hors référentiel » en levier négociable et conforme aux logiques d'ingénierie de formation existantes (DEA, FAE SMUR), nous proposons la création d'un bloc de compétences complémentaire, sur le modèle de la FAE SMUR existante (arrêté du 17 mai 2023), qui pourrait s'intituler :</w:t>
      </w:r>
    </w:p>
    <w:p>
      <w:pPr>
        <w:spacing w:after="120" w:before="0"/>
      </w:pPr>
      <w:r>
        <w:rPr>
          <w:b/>
          <w:bCs/>
          <w:sz w:val="22"/>
          <w:szCs w:val="22"/>
        </w:rPr>
        <w:t xml:space="preserve">« Module Missions Hospitalières Spécifiques » (MHS) — bloc complémentaire au Diplôme d'État d'Ambulancier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80"/>
        <w:gridCol w:w="2680"/>
      </w:tblGrid>
      <w:tr>
        <w:tc>
          <w:tcPr>
            <w:tcW w:type="dxa" w:w="24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Module</w:t>
            </w:r>
          </w:p>
        </w:tc>
        <w:tc>
          <w:tcPr>
            <w:tcW w:type="dxa" w:w="42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Contenu visé</w:t>
            </w:r>
          </w:p>
        </w:tc>
        <w:tc>
          <w:tcPr>
            <w:tcW w:type="dxa" w:w="26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M1 — Transport sous contrainte et gestion de l'agressivité</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Cadre légal de la contrainte (HSC, HDT), techniques de désescalade verbale renforcées — sans recours à la contention mécanique, conformément à la trajectoire « zéro contention 2030 » —, gestion du risque comportemental en espace confiné (habitacle du véhicule), conduite à tenir en cas d'agressivité, protocoles d'alerte ; gestion de l'agressivité du patient détenu.</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3 751 transports psychiatriques sous contrainte en 2025 ; transports UHSI maintenus sous condition de formation ; périmètre confirmé par les missions des ambulanciers internes des établissements psychiatriques (ex. Hôpital Marchant) : transferts vers UMD/USIP, réintégrations après fugue ou sortie pathologique ; besoin de formation renforcé par l'objectif national « zéro contention 2030 » annoncé par la ministre de la Santé le 2 juin 2026.</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M2 — Sécurité des transports sécurisés et pénitentiaires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Conduite en situation d'urgence sous escorte, conduite à tenir en cas d'attaque/panne/accident, protocoles IRIS et escorte Police Nationale, coordination avec l'administration pénitentiaire.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Modèle CHU de Lyon cité en référence par les organisations syndicales ; condition explicite au maintien de la mission UHSI ; couvre également, pour les ambulanciers des établissements psychiatriques, les transferts de détenus vers les services d'admission et/ou l'UHSA, ainsi que les transports vers le juge des libertés et de la détention ou les tribunaux.</w:t>
            </w:r>
          </w:p>
        </w:tc>
      </w:tr>
      <w:tr>
        <w:tc>
          <w:tcPr>
            <w:tcW w:type="dxa" w:w="240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b/>
                <w:bCs/>
                <w:sz w:val="20"/>
                <w:szCs w:val="20"/>
              </w:rPr>
              <w:t xml:space="preserve">M3 — Patients fragiles et à risque infectieux élevé</w:t>
            </w:r>
          </w:p>
          <w:p>
            <w:r>
              <w:rPr>
                <w:i/>
                <w:iCs/>
                <w:sz w:val="18"/>
                <w:szCs w:val="18"/>
              </w:rPr>
              <w:t xml:space="preserve">(soins palliatifs, médecine nucléaire, médecine infectieuse, aplasie, sorties de bloc/réanimation, patients greffés)</w:t>
            </w:r>
          </w:p>
        </w:tc>
        <w:tc>
          <w:tcPr>
            <w:tcW w:type="dxa" w:w="428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pPr>
              <w:spacing w:after="60"/>
            </w:pPr>
            <w:r>
              <w:rPr>
                <w:sz w:val="20"/>
                <w:szCs w:val="20"/>
              </w:rPr>
              <w:t xml:space="preserve">Notions de radioprotection et accompagnement relationnel de la fin de vie et de l'entourage (soins palliatifs, médecine nucléaire) ;</w:t>
            </w:r>
          </w:p>
          <w:p>
            <w:pPr>
              <w:spacing w:after="60"/>
            </w:pPr>
            <w:r>
              <w:rPr>
                <w:sz w:val="20"/>
                <w:szCs w:val="20"/>
              </w:rPr>
              <w:t xml:space="preserve">protocoles d'isolement protecteur et d'asepsie renforcée pour les patients de médecine infectieuse et les patients en aplasie médullaire (immunodépression sévère liée à une hémopathie ou une chimiothérapie) ;</w:t>
            </w:r>
          </w:p>
          <w:p>
            <w:pPr>
              <w:spacing w:after="60"/>
            </w:pPr>
            <w:r>
              <w:rPr>
                <w:sz w:val="20"/>
                <w:szCs w:val="20"/>
              </w:rPr>
              <w:t xml:space="preserve">surveillance des paramètres vitaux et manipulation sécurisée des dispositifs médicaux (drains, sondes, perfusions, oxygénothérapie) pour les patients sortant de bloc opératoire ou de réanimation ;</w:t>
            </w:r>
          </w:p>
          <w:p>
            <w:pPr>
              <w:spacing w:after="60"/>
            </w:pPr>
            <w:r>
              <w:rPr>
                <w:sz w:val="20"/>
                <w:szCs w:val="20"/>
              </w:rPr>
              <w:t xml:space="preserve">vigilance spécifique aux signes de rejet ou de complication infectieuse pour les patients greffés.</w:t>
            </w:r>
          </w:p>
        </w:tc>
        <w:tc>
          <w:tcPr>
            <w:tcW w:type="dxa" w:w="268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sz w:val="20"/>
                <w:szCs w:val="20"/>
              </w:rPr>
              <w:t xml:space="preserve">Module élargi (mise à jour 24/06/2026) : ces transports concentrent une part significative des transports inter-services en CHU universitaire ; aucune formation dédiée à ce jour à la manipulation de dispositifs invasifs ni aux protocoles d'asepsie renforcée.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M4 — Transports mortuaires et gestion des situations conflictuelles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Cadre réglementaire du transport de corps, posture relationnelle face aux familles endeuillées, protocole de sécurité pour les interventions seul, en dehors des heures ouvrables.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Risque identifié par les organisations syndicales : aucun agent ne devrait intervenir seul sans procédure définie.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M5 — Médecine de catastrophe et Plan Blanc</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Organisation de la chaîne médicale des secours, gestes d'urgence renforcés, équivalence partielle avec le tronc commun de la FAE SMUR, pour permettre une mobilisation en cas de déficit d'effectifs SAMU.</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Équité revendiquée avec les ambulanciers SAMU pour l'intégration aux Plans Blancs.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M6 — Maintenance de premier niveau du matériel</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Contrôles et gestes de dépannage simples (uniquement ceux pour lesquels une dotation outillage est fournie), procédure de signalement pour le reste.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Condition explicite des organisations syndicales avant toute inscription de cette tâche en fiche de poste.</w:t>
            </w:r>
          </w:p>
        </w:tc>
      </w:tr>
      <w:tr>
        <w:tc>
          <w:tcPr>
            <w:tcW w:type="dxa" w:w="2400"/>
            <w:tcBorders>
              <w:top w:val="single" w:color="CCCCCC" w:sz="1"/>
              <w:left w:val="single" w:color="CCCCCC" w:sz="1"/>
              <w:bottom w:val="single" w:color="CCCCCC" w:sz="1"/>
              <w:right w:val="single" w:color="CCCCCC" w:sz="1"/>
            </w:tcBorders>
            <w:shd w:fill="E8F4E8" w:color="auto" w:val="clear"/>
            <w:tcMar>
              <w:top w:type="dxa" w:w="100"/>
              <w:left w:type="dxa" w:w="120"/>
              <w:bottom w:type="dxa" w:w="100"/>
              <w:right w:type="dxa" w:w="120"/>
            </w:tcMar>
            <w:vAlign w:val="top"/>
          </w:tcPr>
          <w:p>
            <w:r>
              <w:rPr>
                <w:b/>
                <w:sz w:val="20"/>
                <w:szCs w:val="20"/>
              </w:rPr>
              <w:t xml:space="preserve">M7 — Spécificités ambulancier SMUR</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Au sein du trinôme SMUR (médecin – infirmier – ambulancier) : assistance aux gestes de réanimation (aide à l’intubation, pose de dispositifs, ventilation manuelle BAVU) ; damage control préhospitalier (garrots, pansements compressifs, priorisation hémorragie–ventilation–état circulatoire) ; préparation de kits de perfusion pour l’IDE ; gestion de scène complexe ou instable (accident, violence, foule) et mesures NRBC de base ; intervention en Situations Sanitaires Exceptionnelles (plans ORSEC, plan blanc, plan rouge, tri et pré-tri sous supervision) ; coordination opérationnelle interservices (SDIS, forces de l’ordre, ARS, SAMU) ; brancardage et évacuation en milieux hostiles (escaliers, sites industriels, lieux publics) et interventions héliportées HéliSMUR ; maintenance et dépannage de premier niveau du matériel et des véhicules SMUR (UMH) selon procédures ; adaptabilité aux populations vulnérables en contexte SMUR (pédiatrie, psychiatrie/agitation, personnes âgées) ; contribution au débriefing post-intervention et démarche d’analyse réflexive des pratiques.</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Dossier AFASH (Association Française des Ambulanciers SMUR et hospitaliers, version 02/2026) documentant les 12 compétences spécifiques exercées par l’ambulancier SMUR sans cadre de formation ni reconnaissance RNCP. Seule la FAE SMUR (175 h, non diplômante, hors RNCP) couvre partiellement ce périmètre. Proposition AFASH d’une spécialisation post-DEA « Ambulancier SMUR » (5 mois, 600–700 h, visant le niveau 4 RNCP) ; aucun équivalent RNCP n’existe actuellement en France, contrairement au Royaume-Uni (paramedic HCPC), à l’Allemagne (Notfallsanitäter, 3 ans) ou au Québec (diplôme reconnu nationalement).</w:t>
            </w:r>
          </w:p>
        </w:tc>
      </w:tr>
    </w:tbl>
    <w:p>
      <w:pPr>
        <w:spacing w:after="160" w:before="0"/>
      </w:pPr>
      <w:r>
        <w:rPr>
          <w:sz w:val="22"/>
          <w:szCs w:val="22"/>
        </w:rPr>
        <w:t xml:space="preserve"/>
      </w:r>
    </w:p>
    <w:p>
      <w:pPr>
        <w:pStyle w:val="Heading2"/>
      </w:pPr>
      <w:r>
        <w:t xml:space="preserve">Point d'attention — Focus sur le module M3 (mise à jour du 24 juin 2026)</w:t>
      </w:r>
    </w:p>
    <w:p>
      <w:pPr>
        <w:spacing w:after="120" w:before="0"/>
      </w:pPr>
      <w:r>
        <w:rPr>
          <w:sz w:val="22"/>
          <w:szCs w:val="22"/>
        </w:rPr>
        <w:t xml:space="preserve">Le périmètre du module M3 a été volontairement élargi dans la saisine ministérielle pour couvrir l'ensemble des situations de fragilité clinique aujourd'hui rencontrées par les ambulanciers hospitaliers, et non plus seulement les soins palliatifs et la médecine nucléaire. Sont désormais explicitement intégrés : les transports de patients de médecine infectieuse, les patients en aplasie médullaire (immunodépression sévère liée à une hémopathie ou à une chimiothérapie), les patients sortant de bloc opératoire ou de réanimation, ainsi que les patients greffés (organes solides ou greffe de moelle osseuse).</w:t>
      </w:r>
    </w:p>
    <w:p>
      <w:pPr>
        <w:spacing w:after="120" w:before="0"/>
      </w:pPr>
      <w:r>
        <w:rPr>
          <w:sz w:val="22"/>
          <w:szCs w:val="22"/>
        </w:rPr>
        <w:t xml:space="preserve">Cet élargissement renforce l'argumentaire sur deux plans :</w:t>
      </w:r>
    </w:p>
    <w:p>
      <w:pPr>
        <w:pStyle w:val="ListParagraph"/>
        <w:numPr>
          <w:ilvl w:val="0"/>
          <w:numId w:val="2"/>
        </w:numPr>
        <w:spacing w:after="100"/>
      </w:pPr>
      <w:r>
        <w:rPr>
          <w:sz w:val="22"/>
          <w:szCs w:val="22"/>
        </w:rPr>
        <w:t xml:space="preserve">un double enjeu de sécurité, désormais documenté avec précision : pour le patient (dégradation clinique possible en cours de trajet, exigence d'asepsie stricte) et pour l'agent (reconnaissance des signes d'alerte clinique, manipulation de dispositifs invasifs — drains, sondes, perfusions, oxygénothérapie, pousse-seringues — sans formation dédiée à ce jour) ;</w:t>
      </w:r>
    </w:p>
    <w:p>
      <w:pPr>
        <w:pStyle w:val="ListParagraph"/>
        <w:numPr>
          <w:ilvl w:val="0"/>
          <w:numId w:val="2"/>
        </w:numPr>
        <w:spacing w:after="100"/>
      </w:pPr>
      <w:r>
        <w:rPr>
          <w:sz w:val="22"/>
          <w:szCs w:val="22"/>
        </w:rPr>
        <w:t xml:space="preserve">une assise volumétrique plus large : ces transports inter-services représentent une part significative de l'activité quotidienne d'un établissement hospitalo-universitaire, ce qui consolide l'argument de structuralité (par opposition à « ponctuel ») déjà mobilisé pour les transports psychiatriques.</w:t>
      </w:r>
    </w:p>
    <w:p>
      <w:pPr>
        <w:spacing w:after="120" w:before="0"/>
      </w:pPr>
      <w:r>
        <w:rPr>
          <w:i/>
          <w:iCs/>
          <w:sz w:val="22"/>
          <w:szCs w:val="22"/>
        </w:rPr>
        <w:t xml:space="preserve">Conséquence pour la négociation : cet élargissement doit être répercuté dans le chiffrage de l'écart de formation (axe 3 ci-dessus) et dans les indicateurs à produire (section V), faute de quoi la Direction pourrait arguer que le module M3 reste circonscrit aux seules données déjà connues (soins palliatifs, médecine nucléaire).</w:t>
      </w:r>
    </w:p>
    <w:p>
      <w:pPr>
        <w:spacing w:after="200" w:before="0"/>
      </w:pPr>
      <w:r>
        <w:rPr>
          <w:sz w:val="22"/>
          <w:szCs w:val="22"/>
        </w:rPr>
        <w:t xml:space="preserve">Intérêt stratégique de cette proposition : elle reprend le format déjà validé et reconnu réglementairement de la FAE (formation d'adaptation à l'emploi), ce qui la rend immédiatement crédible auprès d'une Direction et d'une ARS — tout en démontrant, par construction, que les missions réellement exercées dépassent le périmètre du DEA socle. Ce constat objectivé d'un écart de formation devient alors le support documentaire de la demande de révision catégorielle, à porter ensuite au niveau ministériel (DGOS) via les fédérations syndicales nationales, le seul niveau habilité à modifier le classement statutaire d'un corps de la FPH.</w:t>
      </w:r>
    </w:p>
    <w:p>
      <w:pPr>
        <w:pStyle w:val="Heading2"/>
      </w:pPr>
      <w:r>
        <w:t xml:space="preserve">Point d'attention — Focus sur les ambulanciers internes en établissement psychiatrique (exemple de l'Hôpital Marchant, Toulouse)</w:t>
      </w:r>
    </w:p>
    <w:p>
      <w:pPr>
        <w:spacing w:after="120" w:before="0"/>
      </w:pPr>
      <w:r>
        <w:rPr>
          <w:sz w:val="22"/>
          <w:szCs w:val="22"/>
        </w:rPr>
        <w:t xml:space="preserve">L'argumentaire ne se limite pas aux transports inter-établissements assurés depuis le CHU vers des structures psychiatriques : les ambulanciers internes affectés en propre à un établissement psychiatrique autonome, tel que l'Hôpital Marchant à Toulouse, exercent un périmètre de missions au moins aussi étendu et tout aussi absent du référentiel DEA. Les trois stages prévus par la formation initiale (médecine d’urgence, transport sanitaire, structures de soins) ne comportent d’ailleurs aucun stage dédié en établissement psychiatrique. Ces missions recouvrent notamment :</w:t>
      </w:r>
    </w:p>
    <w:p>
      <w:pPr>
        <w:pStyle w:val="ListParagraph"/>
        <w:numPr>
          <w:ilvl w:val="0"/>
          <w:numId w:val="2"/>
        </w:numPr>
        <w:spacing w:after="100"/>
      </w:pPr>
      <w:r>
        <w:rPr>
          <w:sz w:val="22"/>
          <w:szCs w:val="22"/>
        </w:rPr>
        <w:t xml:space="preserve">les consultations et hospitalisations somatiques de patients suivis en psychiatrie, qui exigent une vigilance clinique et relationnelle renforcée (comorbidités somatiques, patient parfois opposant ou anxieux) ;</w:t>
      </w:r>
    </w:p>
    <w:p>
      <w:pPr>
        <w:pStyle w:val="ListParagraph"/>
        <w:numPr>
          <w:ilvl w:val="0"/>
          <w:numId w:val="2"/>
        </w:numPr>
        <w:spacing w:after="100"/>
      </w:pPr>
      <w:r>
        <w:rPr>
          <w:sz w:val="22"/>
          <w:szCs w:val="22"/>
        </w:rPr>
        <w:t xml:space="preserve">les transports inter-services entre les structures de l'établissement réparties sur le département (centres de post-cure, centres médico-psychologiques, hôpitaux de jour), qui supposent une connaissance du parcours de soin du patient et une coordination étroite avec les équipes soignantes ;</w:t>
      </w:r>
    </w:p>
    <w:p>
      <w:pPr>
        <w:pStyle w:val="ListParagraph"/>
        <w:numPr>
          <w:ilvl w:val="0"/>
          <w:numId w:val="2"/>
        </w:numPr>
        <w:spacing w:after="100"/>
      </w:pPr>
      <w:r>
        <w:rPr>
          <w:sz w:val="22"/>
          <w:szCs w:val="22"/>
        </w:rPr>
        <w:t xml:space="preserve">les transferts, parfois sur de longues distances, à l'échelle locale comme nationale, vers des unités pour malades difficiles (UMD) ou des unités pour soins intensifs psychiatriques (USIP), c'est-à-dire la prise en charge de patients en phase de crise aiguë ;</w:t>
      </w:r>
    </w:p>
    <w:p>
      <w:pPr>
        <w:pStyle w:val="ListParagraph"/>
        <w:numPr>
          <w:ilvl w:val="0"/>
          <w:numId w:val="2"/>
        </w:numPr>
        <w:spacing w:after="100"/>
      </w:pPr>
      <w:r>
        <w:rPr>
          <w:sz w:val="22"/>
          <w:szCs w:val="22"/>
        </w:rPr>
        <w:t xml:space="preserve">les réintégrations de patients après une sortie pathologique ou une fugue, au niveau local comme national — missions exposant l'agent à un risque d'agressivité et d'imprévisibilité au moins comparable à celui des transports sous contrainte déjà identifiés (axe 1, module M1) ;</w:t>
      </w:r>
    </w:p>
    <w:p>
      <w:pPr>
        <w:pStyle w:val="ListParagraph"/>
        <w:numPr>
          <w:ilvl w:val="0"/>
          <w:numId w:val="2"/>
        </w:numPr>
        <w:spacing w:after="100"/>
      </w:pPr>
      <w:r>
        <w:rPr>
          <w:sz w:val="22"/>
          <w:szCs w:val="22"/>
        </w:rPr>
        <w:t xml:space="preserve">les transferts de détenus depuis les centres de détention vers les services d'admission de l'établissement et/ou vers l'unité hospitalière spécialement aménagée (UHSA), qui cumulent contrainte psychiatrique et contrainte pénitentiaire (escorte, sécurité) ;</w:t>
      </w:r>
    </w:p>
    <w:p>
      <w:pPr>
        <w:pStyle w:val="ListParagraph"/>
        <w:numPr>
          <w:ilvl w:val="0"/>
          <w:numId w:val="2"/>
        </w:numPr>
        <w:spacing w:after="100"/>
      </w:pPr>
      <w:r>
        <w:rPr>
          <w:sz w:val="22"/>
          <w:szCs w:val="22"/>
        </w:rPr>
        <w:t xml:space="preserve">les transports de patients et de détenus devant le juge des libertés et de la détention ou les tribunaux, avec la gestion administrative des demandes de transport et de la régulation associée.</w:t>
      </w:r>
    </w:p>
    <w:p>
      <w:pPr>
        <w:spacing w:after="200" w:before="0"/>
      </w:pPr>
      <w:r>
        <w:rPr>
          <w:i/>
          <w:iCs/>
          <w:sz w:val="22"/>
          <w:szCs w:val="22"/>
        </w:rPr>
        <w:t xml:space="preserve">Argument-clé : ces missions confirment que l'élargissement de fait des missions hors référentiel DEA (axe 1) ne se limite pas au CHU mais concerne l'ensemble des établissements de la filière soignante employant des ambulanciers hospitaliers, y compris les établissements psychiatriques autonomes. Les transferts vers UMD/USIP et les réintégrations après fugue relèvent directement du module M1 (contrainte et agressivité) ; les transferts de détenus vers l'UHSA et les transports vers le juge des libertés et de la détention relèvent du module M2 (transports sécurisés et pénitentiaires). Cette extension doit être répercutée dans les indicateurs chiffrés à produire (section V) et permet d'élargir l'assise du rapport de force en associant à la démarche les organisations syndicales des établissements psychiatriques (Marchant et autres), au même titre que la mobilisation inter-CHU déjà engagée (section IV).</w:t>
      </w:r>
    </w:p>
    <w:p>
      <w:pPr>
        <w:pStyle w:val="Heading2"/>
      </w:pPr>
      <w:r>
        <w:t xml:space="preserve">Point d'attention — Le « Plan zéro contention 2030 » et le risque ajouté lors des transports</w:t>
      </w:r>
    </w:p>
    <w:p>
      <w:pPr>
        <w:spacing w:after="120" w:before="0"/>
      </w:pPr>
      <w:r>
        <w:rPr>
          <w:sz w:val="22"/>
          <w:szCs w:val="22"/>
        </w:rPr>
        <w:t xml:space="preserve">Le 2 juin 2026, lors du rendez-vous interministériel consacré à la santé mentale (Grande cause nationale), la ministre de la Santé Stéphanie Rist a fixé pour la première fois un objectif national de « zéro contention » en psychiatrie à l'horizon 2030. Les leviers annoncés portent notamment sur une cartographie nationale des pratiques, un renforcement de la formation continue des professionnels à la désescalade, le déploiement d'espaces d'apaisement et l'extension du programme « Quality Rights » de l'OMS.</w:t>
      </w:r>
    </w:p>
    <w:p>
      <w:pPr>
        <w:spacing w:after="120" w:before="0"/>
      </w:pPr>
      <w:r>
        <w:rPr>
          <w:sz w:val="22"/>
          <w:szCs w:val="22"/>
        </w:rPr>
        <w:t xml:space="preserve">Cette trajectoire nationale, pensée d'abord pour les services d'hospitalisation, a une conséquence directe — et non encore documentée à ce jour — sur les missions de transport :</w:t>
      </w:r>
    </w:p>
    <w:p>
      <w:pPr>
        <w:pStyle w:val="ListParagraph"/>
        <w:numPr>
          <w:ilvl w:val="0"/>
          <w:numId w:val="2"/>
        </w:numPr>
        <w:spacing w:after="100"/>
      </w:pPr>
      <w:r>
        <w:rPr>
          <w:sz w:val="22"/>
          <w:szCs w:val="22"/>
        </w:rPr>
        <w:t xml:space="preserve">la réduction programmée du recours à la contention mécanique pendant l'hospitalisation se répercute mécaniquement sur le transport, où elle reste aujourd'hui parfois mobilisée comme mesure de sécurité faute d'alternative ; l'ambulancier devra de plus en plus gérer seul, ou en lien avec un seul accompagnant soignant, des patients en phase de crise sans pouvoir s'appuyer sur la contention physique ;</w:t>
      </w:r>
    </w:p>
    <w:p>
      <w:pPr>
        <w:pStyle w:val="ListParagraph"/>
        <w:numPr>
          <w:ilvl w:val="0"/>
          <w:numId w:val="2"/>
        </w:numPr>
        <w:spacing w:after="100"/>
      </w:pPr>
      <w:r>
        <w:rPr>
          <w:sz w:val="22"/>
          <w:szCs w:val="22"/>
        </w:rPr>
        <w:t xml:space="preserve">l'habitacle du véhicule constitue un espace confiné, mobile et dépourvu des moyens d'alerte et de renfort disponibles à l'hôpital, ce qui rend la gestion d'une crise comportementale structurellement plus risquée en transport qu'en service — un facteur de risque spécifique que la formation des professionnels annoncée par la ministre ne vise pas explicitement, puisqu'elle cible les équipes d'hospitalisation ;</w:t>
      </w:r>
    </w:p>
    <w:p>
      <w:pPr>
        <w:pStyle w:val="ListParagraph"/>
        <w:numPr>
          <w:ilvl w:val="0"/>
          <w:numId w:val="2"/>
        </w:numPr>
        <w:spacing w:after="100"/>
      </w:pPr>
      <w:r>
        <w:rPr>
          <w:sz w:val="22"/>
          <w:szCs w:val="22"/>
        </w:rPr>
        <w:t xml:space="preserve">les missions les plus directement concernées sont précisément celles déjà identifiées dans cette note : transports sous contrainte, transferts vers UMD/USIP, réintégrations après fugue ou sortie pathologique — c'est-à-dire des situations où le patient est par construction en phase de crise ou de rupture de cadre thérapeutique.</w:t>
      </w:r>
    </w:p>
    <w:p>
      <w:pPr>
        <w:spacing w:after="200" w:before="0"/>
      </w:pPr>
      <w:r>
        <w:rPr>
          <w:i/>
          <w:iCs/>
          <w:sz w:val="22"/>
          <w:szCs w:val="22"/>
        </w:rPr>
        <w:t xml:space="preserve">Argument-clé : le Plan zéro contention 2030 ne doit pas être lu comme une mesure qui réduit le risque pour l'ambulancier, mais comme une mesure qui en déplace une partie vers la phase de transport, faute pour l'instant d'un volet de formation dédié aux professionnels du transport sanitaire. C'est un argument supplémentaire, et de nature réglementaire nationale, pour intégrer sans délai au module M1 un contenu spécifique de désescalade en espace confiné, sans recours à la contention mécanique — contenu qui n'existe aujourd'hui dans aucun référentiel, ni le DEA, ni les plans de formation annoncés au niveau ministériel. Cet argument doit être porté en priorité dans le protocole de fin de conflit (section IV) et anticipé avant l'entrée en vigueur progressive du plan, plutôt que découvert au moment des premiers incidents.</w:t>
      </w:r>
    </w:p>
    <w:p>
      <w:pPr>
        <w:pStyle w:val="Heading2"/>
      </w:pPr>
      <w:r>
        <w:t xml:space="preserve">Point d’attention — Focus sur les ambulanciers SMUR (mise à jour du 27 juin 2026)</w:t>
      </w:r>
    </w:p>
    <w:p>
      <w:pPr>
        <w:spacing w:after="120" w:before="0"/>
      </w:pPr>
      <w:r>
        <w:rPr>
          <w:sz w:val="22"/>
          <w:szCs w:val="22"/>
        </w:rPr>
        <w:t xml:space="preserve">Le dossier CGT/SUD du 27 juin 2026, qui s’appuie sur le dossier de demande de spécialisation d’ambulancier SMUR de l’AFASH (version 02/2026), documente un écart supplémentaire et structurel entre le référentiel DEA socle (et le décret AMU n° 2022-629) et les compétences réellement mobilisées par l’ambulancier au sein du trinôme SMUR. Cet écart porte sur dix domaines distincts, tous absents du DEA socle :</w:t>
      </w:r>
    </w:p>
    <w:p>
      <w:pPr>
        <w:pStyle w:val="ListParagraph"/>
        <w:numPr>
          <w:ilvl w:val="0"/>
          <w:numId w:val="2"/>
        </w:numPr>
        <w:spacing w:after="100"/>
      </w:pPr>
      <w:r>
        <w:rPr>
          <w:sz w:val="22"/>
          <w:szCs w:val="22"/>
        </w:rPr>
        <w:t xml:space="preserve">assistance technique aux gestes de réanimation (aide à l’intubation, pose de dispositifs, ventilation manuelle BAVU) et damage control préhospitalier (garrots, pansements compressifs) — gestes à enjeu vital exercés sans cadre de formation reconnu ;</w:t>
      </w:r>
    </w:p>
    <w:p>
      <w:pPr>
        <w:pStyle w:val="ListParagraph"/>
        <w:numPr>
          <w:ilvl w:val="0"/>
          <w:numId w:val="2"/>
        </w:numPr>
        <w:spacing w:after="100"/>
      </w:pPr>
      <w:r>
        <w:rPr>
          <w:sz w:val="22"/>
          <w:szCs w:val="22"/>
        </w:rPr>
        <w:t xml:space="preserve">gestion de scène complexe et mesures NRBC de base ; intervention en Situations Sanitaires Exceptionnelles (SSE) : plans ORSEC, plan blanc, plan rouge, tri et pré-tri sous supervision médicale — seule la FAE SMUR (non certifiante) aborde partiellement ces volets ;</w:t>
      </w:r>
    </w:p>
    <w:p>
      <w:pPr>
        <w:pStyle w:val="ListParagraph"/>
        <w:numPr>
          <w:ilvl w:val="0"/>
          <w:numId w:val="2"/>
        </w:numPr>
        <w:spacing w:after="100"/>
      </w:pPr>
      <w:r>
        <w:rPr>
          <w:sz w:val="22"/>
          <w:szCs w:val="22"/>
        </w:rPr>
        <w:t xml:space="preserve">coordination opérationnelle interservices (SDIS, forces de l’ordre, ARS, SAMU) et brancardage/évacuation en milieux hostiles et héliportés (HéliSMUR) ;</w:t>
      </w:r>
    </w:p>
    <w:p>
      <w:pPr>
        <w:pStyle w:val="ListParagraph"/>
        <w:numPr>
          <w:ilvl w:val="0"/>
          <w:numId w:val="2"/>
        </w:numPr>
        <w:spacing w:after="100"/>
      </w:pPr>
      <w:r>
        <w:rPr>
          <w:sz w:val="22"/>
          <w:szCs w:val="22"/>
        </w:rPr>
        <w:t xml:space="preserve">contribution au débriefing structuré post-intervention et démarche qualité/sécurité — non intégrée comme compétence formelle du DEA.</w:t>
      </w:r>
    </w:p>
    <w:p>
      <w:pPr>
        <w:spacing w:after="120" w:before="0"/>
      </w:pPr>
      <w:r>
        <w:rPr>
          <w:sz w:val="22"/>
          <w:szCs w:val="22"/>
        </w:rPr>
        <w:t xml:space="preserve">Le dossier AFASH relève en outre que la France est le seul grand pays à ne disposer d’aucun positionnement RNCP spécifique pour l’ambulancier spécialisé en urgence préhospitalière, contrairement au Royaume-Uni (paramedic reconnu par le HCPC), à l’Allemagne (Notfallsanitäter, 3 ans de formation), au Québec (diplôme reconnu nationalement) et aux États-Unis (paramedic certifié). Cette comparaison internationale constitue un argument additionnel pour le dossier porté devant la DGOS.</w:t>
      </w:r>
    </w:p>
    <w:p>
      <w:pPr>
        <w:spacing w:after="120" w:before="0"/>
      </w:pPr>
      <w:r>
        <w:rPr>
          <w:i/>
          <w:iCs/>
          <w:sz w:val="22"/>
          <w:szCs w:val="22"/>
        </w:rPr>
        <w:t xml:space="preserve">Argument-clé : le cœur même de l’activité SMUR — assistance aux gestes de réanimation, damage control, gestion de scène, coordination en SSE — repose aujourd’hui sur des compétences exercées en pratique sans aucune reconnaissance ni cadre de formation national. Cet écart, désormais documenté par le dossier AFASH, confirme et aggrave le déséquilibre déjà identifié pour les missions CHU et psychiatrie : sur l’ensemble des 32 missions recensées dans le document de référence, 24 sortent du périmètre couvert par le DEA et le décret n° 2022-629 (soit les trois quarts). Ces éléments doivent être intégrés dans le dossier technique à porter devant la DGOS (section IV, échéance 6–12 mois) et dans les indicateurs à produire (section V).</w:t>
      </w:r>
    </w:p>
    <w:p>
      <w:pPr>
        <w:pStyle w:val="Heading1"/>
      </w:pPr>
      <w:r>
        <w:t xml:space="preserve">IV. Plan d’action et séquencement de la négociation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Échéance</w:t>
            </w:r>
          </w:p>
        </w:tc>
        <w:tc>
          <w:tcPr>
            <w:tcW w:type="dxa" w:w="42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Action</w:t>
            </w:r>
          </w:p>
        </w:tc>
        <w:tc>
          <w:tcPr>
            <w:tcW w:type="dxa" w:w="328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Objectif</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Court terme (protocole de fin de conflit)</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Obtenir dans le protocole : reconnaissance écrite de l'écart missions/référentiel (incluant désormais le périmètre élargi du module M3 et les missions des ambulanciers en établissement psychiatrique), engagement à créer le module MHS — avec un volet désescalade anticipant le Plan zéro contention 2030 —, NBI/IFR ou équivalent en mesure transitoire, désignation d'un cadre de santé référent.</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Sécuriser des gains immédiats sans attendre l'issue (longue) d'une révision statutaire nationale.</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3-6 mois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Construire, avec la Direction des Soins et la Direction Formation, le contenu détaillé du module MHS ; documenter et chiffrer l'écart (heures de formation manquantes, nombre d'agents concernés, sinistralité/incidents) — y compris pour les nouvelles populations intégrées au module M3.</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Disposer d'un dossier technique solide, co-construit, qui ne pourra pas être balayé comme une simple revendication catégorielle.</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6-12 mois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Porter le dossier via les fédérations CGT/SUD Santé Sociaux au niveau national, en lien avec d'autres CHU mobilisés (Angers, Tours, Lyon) pour mutualiser un dossier inter-établissements.</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Peser sur la DGOS pour une révision du statut particulier du corps des ambulanciers de la FPH (décret n° 2022-1658), sur le modèle du décret n° 2021-1257 pour les AS.</w:t>
            </w:r>
          </w:p>
        </w:tc>
      </w:tr>
      <w:tr>
        <w:tc>
          <w:tcPr>
            <w:tcW w:type="dxa" w:w="18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Au-delà</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Mobiliser le rapport de force inter-CHU lors des prochaines négociations salariales de la FPH (clause de revoyure, conférence sociale).</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Inscrire la revendication dans un calendrier national, seul niveau pertinent pour un changement de catégorie statutaire.</w:t>
            </w:r>
          </w:p>
        </w:tc>
      </w:tr>
    </w:tbl>
    <w:p>
      <w:pPr>
        <w:spacing w:after="160" w:before="0"/>
      </w:pPr>
      <w:r>
        <w:rPr>
          <w:sz w:val="22"/>
          <w:szCs w:val="22"/>
        </w:rPr>
        <w:t xml:space="preserve"/>
      </w:r>
    </w:p>
    <w:p>
      <w:pPr>
        <w:pStyle w:val="Heading1"/>
      </w:pPr>
      <w:r>
        <w:t xml:space="preserve">V. Argumentaire chiffré (données CHU de Toulouse, activité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Indicateur</w:t>
            </w:r>
          </w:p>
        </w:tc>
        <w:tc>
          <w:tcPr>
            <w:tcW w:type="dxa" w:w="18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Volume 2025</w:t>
            </w:r>
          </w:p>
        </w:tc>
        <w:tc>
          <w:tcPr>
            <w:tcW w:type="dxa" w:w="396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Portée argumentaire</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Total des transports patients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56 843</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Démontre le caractère structurel, non marginal, de l'activité</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Transports psychiatriques sous contrainte</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3 751</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Réfute le terme « ponctuel » utilisé dans le projet de fiche de poste</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Transports urgences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4 033</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Justifie le besoin de formation aux gestes d'urgence renforcés</w:t>
            </w:r>
          </w:p>
        </w:tc>
      </w:tr>
    </w:tbl>
    <w:p>
      <w:pPr>
        <w:spacing w:after="100" w:before="0"/>
      </w:pPr>
      <w:r>
        <w:rPr>
          <w:sz w:val="22"/>
          <w:szCs w:val="22"/>
        </w:rPr>
        <w:t xml:space="preserve"/>
      </w:r>
    </w:p>
    <w:p>
      <w:pPr>
        <w:spacing w:after="120" w:before="0"/>
      </w:pPr>
      <w:r>
        <w:rPr>
          <w:sz w:val="22"/>
          <w:szCs w:val="22"/>
        </w:rPr>
        <w:t xml:space="preserve">Ces chiffres, déjà mobilisés dans la contre-proposition syndicale du 7 juin 2026, doivent être complétés — pour renforcer le dossier catégoriel — par :</w:t>
      </w:r>
    </w:p>
    <w:p>
      <w:pPr>
        <w:pStyle w:val="ListParagraph"/>
        <w:numPr>
          <w:ilvl w:val="0"/>
          <w:numId w:val="2"/>
        </w:numPr>
        <w:spacing w:after="100"/>
      </w:pPr>
      <w:r>
        <w:rPr>
          <w:sz w:val="22"/>
          <w:szCs w:val="22"/>
        </w:rPr>
        <w:t xml:space="preserve">le nombre de transports UHSI, de transports mortuaires nocturnes, de missions soins palliatifs/médecine nucléaire ;</w:t>
      </w:r>
    </w:p>
    <w:p>
      <w:pPr>
        <w:pStyle w:val="ListParagraph"/>
        <w:numPr>
          <w:ilvl w:val="0"/>
          <w:numId w:val="2"/>
        </w:numPr>
        <w:spacing w:after="100"/>
      </w:pPr>
      <w:r>
        <w:rPr>
          <w:b w:val="false"/>
          <w:bCs w:val="false"/>
          <w:sz w:val="22"/>
          <w:szCs w:val="22"/>
        </w:rPr>
        <w:t xml:space="preserve">le nombre de transports de patients de médecine infectieuse et de patients en aplasie médullaire ;</w:t>
      </w:r>
    </w:p>
    <w:p>
      <w:pPr>
        <w:pStyle w:val="ListParagraph"/>
        <w:numPr>
          <w:ilvl w:val="0"/>
          <w:numId w:val="2"/>
        </w:numPr>
        <w:spacing w:after="100"/>
      </w:pPr>
      <w:r>
        <w:rPr>
          <w:sz w:val="22"/>
          <w:szCs w:val="22"/>
        </w:rPr>
        <w:t xml:space="preserve">le nombre de transports inter-services de patients sortant de bloc opératoire ou de réanimation, et de patients greffés (organes solides ou greffe de moelle osseuse) ;</w:t>
      </w:r>
    </w:p>
    <w:p>
      <w:pPr>
        <w:pStyle w:val="ListParagraph"/>
        <w:numPr>
          <w:ilvl w:val="0"/>
          <w:numId w:val="2"/>
        </w:numPr>
        <w:spacing w:after="100"/>
      </w:pPr>
      <w:r>
        <w:rPr>
          <w:sz w:val="22"/>
          <w:szCs w:val="22"/>
        </w:rPr>
        <w:t xml:space="preserve">pour les ambulanciers internes des établissements psychiatriques (ex. Hôpital Marchant) : le nombre de transferts vers UMD/USIP, de réintégrations après fugue ou sortie pathologique, de transferts de détenus vers l'UHSA, et de transports vers le juge des libertés et de la détention ou les tribunaux ;</w:t>
      </w:r>
    </w:p>
    <w:p>
      <w:pPr>
        <w:pStyle w:val="ListParagraph"/>
        <w:numPr>
          <w:ilvl w:val="0"/>
          <w:numId w:val="2"/>
        </w:numPr>
        <w:spacing w:after="100"/>
      </w:pPr>
      <w:r>
        <w:rPr>
          <w:sz w:val="22"/>
          <w:szCs w:val="22"/>
        </w:rPr>
        <w:t xml:space="preserve">si possible un indicateur de sinistralité (incidents, agressions, accidents, incidents de manipulation de dispositifs médicaux) sur l'ensemble de ces missions spécifiques.</w:t>
      </w:r>
    </w:p>
    <w:p>
      <w:pPr>
        <w:spacing w:after="120" w:before="0"/>
      </w:pPr>
      <w:r>
        <w:rPr>
          <w:i/>
          <w:iCs/>
          <w:color w:val="8A5A00"/>
          <w:sz w:val="22"/>
          <w:szCs w:val="22"/>
        </w:rPr>
        <w:t xml:space="preserve">Ces trois derniers indicateurs correspondent directement à l'élargissement du module M3 introduit dans la saisine du 24 juin 2026 ; leur absence à ce stade constitue le principal point à sécuriser avant la phase « 3-6 mois » du plan d'action (section IV).</w:t>
      </w:r>
    </w:p>
    <w:p>
      <w:pPr>
        <w:pStyle w:val="Heading1"/>
      </w:pPr>
      <w:r>
        <w:t xml:space="preserve">VI. Anticiper les objections de la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Objection probable</w:t>
            </w:r>
          </w:p>
        </w:tc>
        <w:tc>
          <w:tcPr>
            <w:tcW w:type="dxa" w:w="5760"/>
            <w:tcBorders>
              <w:top w:val="single" w:color="CCCCCC" w:sz="1"/>
              <w:left w:val="single" w:color="CCCCCC" w:sz="1"/>
              <w:bottom w:val="single" w:color="CCCCCC" w:sz="1"/>
              <w:right w:val="single" w:color="CCCCCC" w:sz="1"/>
            </w:tcBorders>
            <w:shd w:fill="2E5E8C" w:val="clear"/>
            <w:tcMar>
              <w:top w:type="dxa" w:w="100"/>
              <w:left w:type="dxa" w:w="120"/>
              <w:bottom w:type="dxa" w:w="100"/>
              <w:right w:type="dxa" w:w="120"/>
            </w:tcMar>
          </w:tcPr>
          <w:p>
            <w:r>
              <w:rPr>
                <w:b/>
                <w:bCs/>
                <w:color w:val="FFFFFF"/>
                <w:sz w:val="20"/>
                <w:szCs w:val="20"/>
              </w:rPr>
              <w:t xml:space="preserve">Réponse à apporter</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Le statut a déjà été revu en 2022 (décret n° 2022-1658)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Ce décret a changé le rattachement de filière (technique → soignante) mais pas la catégorie (toujours C). C'est précisément l'incohérence dénoncée : reconnaissance de l'appellation sans reconnaissance statutaire.</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Le passage en catégorie B relève du niveau national (DGOS), pas de l'établissement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Exact — c'est pourquoi la stratégie distingue les leviers locaux immédiats (protocole de fin de conflit, NBI/IFR, module MHS) des leviers nationaux à porter via les fédérations. Le CHU peut néanmoins s'engager formellement à soutenir la demande auprès de la DGOS et des autres CHU comparables.</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Créer un module de formation a un coût et un délai d'ingénierie pédagogique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Le format proposé reprend celui, déjà validé, de la FAE SMUR (arrêté du 17 mai 2023) : pas de création ex nihilo, mais une déclinaison d'un dispositif existant et reconnu par les CESU.</w:t>
            </w:r>
          </w:p>
        </w:tc>
      </w:tr>
      <w:tr>
        <w:tc>
          <w:tcPr>
            <w:tcW w:type="dxa" w:w="3600"/>
            <w:tcBorders>
              <w:top w:val="single" w:color="CCCCCC" w:sz="1"/>
              <w:left w:val="single" w:color="CCCCCC" w:sz="1"/>
              <w:bottom w:val="single" w:color="CCCCCC" w:sz="1"/>
              <w:right w:val="single" w:color="CCCCCC" w:sz="1"/>
            </w:tcBorders>
            <w:shd w:fill="EDF2F7" w:val="clear"/>
            <w:tcMar>
              <w:top w:type="dxa" w:w="100"/>
              <w:left w:type="dxa" w:w="120"/>
              <w:bottom w:type="dxa" w:w="100"/>
              <w:right w:type="dxa" w:w="120"/>
            </w:tcMar>
            <w:vAlign w:val="top"/>
          </w:tcPr>
          <w:p>
            <w:r>
              <w:rPr>
                <w:sz w:val="20"/>
                <w:szCs w:val="20"/>
              </w:rPr>
              <w:t xml:space="preserve">« Les autres CHU n'ont pas ce statut non plus »</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rPr>
                <w:sz w:val="20"/>
                <w:szCs w:val="20"/>
              </w:rPr>
              <w:t xml:space="preserve">C'est un argument pour une mobilisation inter-établissements (Angers, Tours, Lyon déjà cités) plutôt qu'un argument contre la légitimité de la demande — la comparaison doit jouer en faveur d'une dynamique collective, pas être utilisée comme fin de non-recevoir.</w:t>
            </w:r>
          </w:p>
        </w:tc>
      </w:tr>
      <w:tr>
        <w:tc>
          <w:tcPr>
            <w:tcW w:type="dxa" w:w="360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sz w:val="20"/>
                <w:szCs w:val="20"/>
              </w:rPr>
              <w:t xml:space="preserve">« Le module M3 est trop large : il mélange des situations très différentes (soins palliatifs, infectiologie, greffes...) »</w:t>
            </w:r>
          </w:p>
        </w:tc>
        <w:tc>
          <w:tcPr>
            <w:tcW w:type="dxa" w:w="576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pPr>
              <w:spacing w:after="0"/>
            </w:pPr>
            <w:r>
              <w:rPr>
                <w:sz w:val="20"/>
                <w:szCs w:val="20"/>
              </w:rPr>
              <w:t xml:space="preserve">Le point commun de ces situations n'est pas la spécialité médicale mais le niveau de risque clinique et le besoin commun de compétences (asepsie renforcée, manipulation de dispositifs invasifs, repérage des signes d'alerte) absent du DEA socle. La largeur du module reflète l'ampleur réelle des transports inter-services en CHU universitaire, et non une dilution artificielle de l'argumentaire ; elle peut, si besoin, être déclinée en sous-blocs lors de l'ingénierie pédagogique sans remettre en cause le principe.</w:t>
            </w:r>
          </w:p>
        </w:tc>
      </w:tr>
      <w:tr>
        <w:tc>
          <w:tcPr>
            <w:tcW w:type="dxa" w:w="360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r>
              <w:rPr>
                <w:sz w:val="20"/>
                <w:szCs w:val="20"/>
              </w:rPr>
              <w:t xml:space="preserve">« Le Plan zéro contention 2030 va réduire les risques, pas les augmenter »</w:t>
            </w:r>
          </w:p>
        </w:tc>
        <w:tc>
          <w:tcPr>
            <w:tcW w:type="dxa" w:w="5760"/>
            <w:tcBorders>
              <w:top w:val="single" w:color="CCCCCC" w:sz="1"/>
              <w:left w:val="single" w:color="CCCCCC" w:sz="1"/>
              <w:bottom w:val="single" w:color="CCCCCC" w:sz="1"/>
              <w:right w:val="single" w:color="CCCCCC" w:sz="1"/>
            </w:tcBorders>
            <w:shd w:fill="FCE8C9" w:val="clear"/>
            <w:tcMar>
              <w:top w:type="dxa" w:w="100"/>
              <w:left w:type="dxa" w:w="120"/>
              <w:bottom w:type="dxa" w:w="100"/>
              <w:right w:type="dxa" w:w="120"/>
            </w:tcMar>
            <w:vAlign w:val="top"/>
          </w:tcPr>
          <w:p>
            <w:pPr>
              <w:spacing w:after="0"/>
            </w:pPr>
            <w:r>
              <w:rPr>
                <w:sz w:val="20"/>
                <w:szCs w:val="20"/>
              </w:rPr>
              <w:t xml:space="preserve">Le plan réduit le risque pendant l'hospitalisation, ce qui est son objectif légitime, mais il ne traite pas la phase de transport, où la contention reste aujourd'hui parfois utilisée faute d'alternative. Sans formation dédiée à la désescalade en espace confiné pour les ambulanciers, une partie du risque actuellement couvert par la contention se reporte sur le transport sans solution de substitution — ce qui justifie d'anticiper ce volet plutôt que de l'aborder après les premiers incidents.</w:t>
            </w:r>
          </w:p>
        </w:tc>
      </w:tr>
    </w:tbl>
    <w:p>
      <w:pPr>
        <w:spacing w:after="160" w:before="0"/>
      </w:pPr>
      <w:r>
        <w:rPr>
          <w:sz w:val="22"/>
          <w:szCs w:val="22"/>
        </w:rPr>
        <w:t xml:space="preserve"/>
      </w:r>
    </w:p>
    <w:p>
      <w:pPr>
        <w:pStyle w:val="Heading1"/>
      </w:pPr>
      <w:r>
        <w:t xml:space="preserve">VII. Synthèse en une phrase</w:t>
      </w:r>
    </w:p>
    <w:p>
      <w:pPr>
        <w:spacing w:after="120" w:before="0"/>
      </w:pPr>
      <w:r>
        <w:rPr>
          <w:b/>
          <w:bCs/>
          <w:sz w:val="22"/>
          <w:szCs w:val="22"/>
        </w:rPr>
        <w:t xml:space="preserve">Le passage en catégorie B ne doit pas être présenté comme une revendication salariale isolée, mais comme la conséquence logique et déjà actée par les pouvoirs publics pour un corps comparable (les AS), rendue d’autant plus nécessaire que les missions réellement exercées par les ambulanciers du CHU de Toulouse — désormais documentées de façon élargie via le module M3 (patients à risque infectieux élevé, sorties de bloc et de réanimation, patients greffés) et le module M7 (spécificités ambulanciers SMUR : assistance aux gestes de réanimation, damage control préhospitalier, gestion de scène et coordination en SSE, interventions héliportées) — dépassent largement le périmètre couvert par leur diplôme d’État ; dépassement que confirme et aggrave le dossier AFASH (version 02/2026), qui documente dix compétences exercées en pratique par l’ambulancier SMUR sans aucune reconnaissance ni cadre de formation national, à rebours des modèles britannique, allemand, québécois et américain ; écart que le module de formation complémentaire proposé ici (M1 à M7) a précisément pour fonction de documenter, de corriger et de porter au niveau ministériel.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8C1" w:sz="4" w:space="4"/>
      </w:pBdr>
    </w:pPr>
    <w:r>
      <w:rPr>
        <w:color w:val="555555"/>
        <w:sz w:val="16"/>
        <w:szCs w:val="16"/>
      </w:rPr>
      <w:t xml:space="preserve">CHU de Toulouse — Service Transport Patients — CGT / SUD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57"/>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2026-06-26T08:45:58.152Z</dcterms:created>
  <dcterms:modified xsi:type="dcterms:W3CDTF">2026-06-26T08:45:58.153Z</dcterms:modified>
</cp:coreProperties>
</file>

<file path=docProps/custom.xml><?xml version="1.0" encoding="utf-8"?>
<Properties xmlns="http://schemas.openxmlformats.org/officeDocument/2006/custom-properties" xmlns:vt="http://schemas.openxmlformats.org/officeDocument/2006/docPropsVTypes"/>
</file>