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e621d613d99495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f3ebe8f6262416f"/>
                    <a:stretch>
                      <a:fillRect/>
                    </a:stretch>
                  </pic:blipFill>
                  <pic:spPr>
                    <a:xfrm>
                      <a:off x="0" y="0"/>
                      <a:ext cx="7560000" cy="10692000"/>
                    </a:xfrm>
                    <a:prstGeom prst="rect"/>
                  </pic:spPr>
                </pic:pic>
              </a:graphicData>
            </a:graphic>
          </wp:anchor>
        </w:drawing>
      </w:r>
    </w:p>
    <w:p>
      <w:pPr>
        <w:spacing w:before="4000"/>
      </w:pPr>
      <w:r/>
    </w:p>
    <w:p>
      <w:pPr>
        <w:spacing w:after="200"/>
        <w:jc w:val="center"/>
      </w:pPr>
      <w:r>
        <w:rPr>
          <w:rFonts w:ascii="Calibri" w:hAnsi="Calibri"/>
          <w:b/>
          <w:color w:val="FFFFFF"/>
          <w:sz w:val="72"/>
        </w:rPr>
        <w:t>STRATEGIE ARGUMENTAIRE</w:t>
      </w:r>
    </w:p>
    <w:p>
      <w:pPr>
        <w:spacing w:after="600"/>
        <w:jc w:val="center"/>
      </w:pPr>
      <w:r>
        <w:rPr>
          <w:color w:val="c9a227"/>
          <w:sz w:val="32"/>
        </w:rPr>
        <w:t>Pour le passage des ambulanciers hospitaliers en categorie B</w:t>
      </w:r>
    </w:p>
    <w:p>
      <w:pPr>
        <w:spacing w:after="600"/>
        <w:jc w:val="center"/>
      </w:pPr>
      <w:r>
        <w:rPr>
          <w:color w:val="c9a227"/>
        </w:rPr>
        <w:t>________________________________________</w:t>
      </w:r>
    </w:p>
    <w:p>
      <w:pPr>
        <w:spacing w:after="200"/>
        <w:jc w:val="center"/>
      </w:pPr>
      <w:r>
        <w:rPr>
          <w:color w:val="FFFFFF"/>
          <w:sz w:val="24"/>
        </w:rPr>
        <w:t>Note d'appui strategique a la contre-proposition CGT / SUD</w:t>
      </w:r>
    </w:p>
    <w:p>
      <w:pPr>
        <w:spacing w:after="200"/>
        <w:jc w:val="center"/>
      </w:pPr>
      <w:r>
        <w:rPr>
          <w:color w:val="8e9eab"/>
          <w:sz w:val="22"/>
        </w:rPr>
        <w:t>CHU de Toulouse - Juin 2026</w:t>
      </w:r>
    </w:p>
    <w:p>
      <w:pPr>
        <w:spacing w:before="1200"/>
        <w:jc w:val="center"/>
      </w:pPr>
      <w:r>
        <w:rPr>
          <w:color w:val="c9a227"/>
          <w:sz w:val="18"/>
        </w:rPr>
        <w:t>VERSION 4 - Mise a jour strategique complete</w:t>
      </w:r>
    </w:p>
    <w:p>
      <w:pPr>
        <w:jc w:val="center"/>
      </w:pPr>
      <w:r>
        <w:rPr>
          <w:color w:val="8e9eab"/>
          <w:sz w:val="18"/>
        </w:rPr>
        <w:t>Destination : Ministere de la Sante | DGOS | Federation CGT-SUD Sante</w:t>
      </w:r>
    </w:p>
    <w:p>
      <w:pPr>
        <w:sectPr>
          <w:type w:val="nextPage"/>
          <w:pgSz w:w="11906" w:h="16838"/>
          <w:pgMar w:top="0" w:right="0" w:bottom="0" w:left="0" w:header="0" w:footer="0"/>
          <w:titlePg/>
        </w:sectPr>
      </w:pPr>
    </w:p>
    <w:p>
      <w:pPr>
        <w:pStyle w:val="Heading1"/>
      </w:pPr>
      <w:r>
        <w:t>TABLE DES MATIERES</w:t>
      </w:r>
    </w:p>
    <w:p>
      <w:pPr>
        <w:spacing w:after="200"/>
      </w:pPr>
      <w:r>
        <w:rPr>
          <w:color w:val="8e9eab"/>
          <w:sz w:val="18"/>
        </w:rPr>
        <w:t>Clic droit &gt; Mettre a jour les champs pour actualiser</w:t>
      </w:r>
    </w:p>
    <w:p>
      <w:r>
        <w:fldChar w:fldCharType="begin"/>
      </w:r>
      <w:r>
        <w:instrText xml:space="preserve"> TOC \o "1-3" \h \z \u </w:instrText>
      </w:r>
      <w:r>
        <w:fldChar w:fldCharType="separate"/>
      </w:r>
    </w:p>
    <w:p>
      <w:pPr>
        <w:pStyle w:val="TOC1"/>
      </w:pPr>
      <w:r>
        <w:t>I. Analyse critique du document existant</w:t>
      </w:r>
      <w:r>
        <w:tab/>
      </w:r>
      <w:r>
        <w:t>3</w:t>
      </w:r>
    </w:p>
    <w:p>
      <w:pPr>
        <w:pStyle w:val="TOC2"/>
      </w:pPr>
      <w:r>
        <w:t>Points forts a conserver</w:t>
      </w:r>
      <w:r>
        <w:tab/>
      </w:r>
      <w:r>
        <w:t>3</w:t>
      </w:r>
    </w:p>
    <w:p>
      <w:pPr>
        <w:pStyle w:val="TOC2"/>
      </w:pPr>
      <w:r>
        <w:t>Faiblesses a combler</w:t>
      </w:r>
      <w:r>
        <w:tab/>
      </w:r>
      <w:r>
        <w:t>3</w:t>
      </w:r>
    </w:p>
    <w:p>
      <w:pPr>
        <w:pStyle w:val="TOC1"/>
      </w:pPr>
      <w:r>
        <w:t>II. Elements complementaires nationaux</w:t>
      </w:r>
      <w:r>
        <w:tab/>
      </w:r>
      <w:r>
        <w:t>5</w:t>
      </w:r>
    </w:p>
    <w:p>
      <w:pPr>
        <w:pStyle w:val="TOC2"/>
      </w:pPr>
      <w:r>
        <w:t>Mobilisations inter-CHU</w:t>
      </w:r>
      <w:r>
        <w:tab/>
      </w:r>
      <w:r>
        <w:t>5</w:t>
      </w:r>
    </w:p>
    <w:p>
      <w:pPr>
        <w:pStyle w:val="TOC2"/>
      </w:pPr>
      <w:r>
        <w:t>Donnees de tension RH nationale</w:t>
      </w:r>
      <w:r>
        <w:tab/>
      </w:r>
      <w:r>
        <w:t>6</w:t>
      </w:r>
    </w:p>
    <w:p>
      <w:pPr>
        <w:pStyle w:val="TOC2"/>
      </w:pPr>
      <w:r>
        <w:t>Privatisation et recours a l'interim</w:t>
      </w:r>
      <w:r>
        <w:tab/>
      </w:r>
      <w:r>
        <w:t>7</w:t>
      </w:r>
    </w:p>
    <w:p>
      <w:pPr>
        <w:pStyle w:val="TOC1"/>
      </w:pPr>
      <w:r>
        <w:t>III. Les quatre axes argumentaires renforces</w:t>
      </w:r>
      <w:r>
        <w:tab/>
      </w:r>
      <w:r>
        <w:t>9</w:t>
      </w:r>
    </w:p>
    <w:p>
      <w:pPr>
        <w:pStyle w:val="TOC1"/>
      </w:pPr>
      <w:r>
        <w:t>IV. Proposition operationnelle : Module MHS</w:t>
      </w:r>
      <w:r>
        <w:tab/>
      </w:r>
      <w:r>
        <w:t>13</w:t>
      </w:r>
    </w:p>
    <w:p>
      <w:pPr>
        <w:pStyle w:val="TOC1"/>
      </w:pPr>
      <w:r>
        <w:t>V. Plan d'action et sequencement</w:t>
      </w:r>
      <w:r>
        <w:tab/>
      </w:r>
      <w:r>
        <w:t>17</w:t>
      </w:r>
    </w:p>
    <w:p>
      <w:pPr>
        <w:pStyle w:val="TOC1"/>
      </w:pPr>
      <w:r>
        <w:t>VI. Argumentaire chiffre renforce</w:t>
      </w:r>
      <w:r>
        <w:tab/>
      </w:r>
      <w:r>
        <w:t>19</w:t>
      </w:r>
    </w:p>
    <w:p>
      <w:pPr>
        <w:pStyle w:val="TOC1"/>
      </w:pPr>
      <w:r>
        <w:t>VII. Anticiper les objections</w:t>
      </w:r>
      <w:r>
        <w:tab/>
      </w:r>
      <w:r>
        <w:t>21</w:t>
      </w:r>
    </w:p>
    <w:p>
      <w:pPr>
        <w:pStyle w:val="TOC1"/>
      </w:pPr>
      <w:r>
        <w:t>VIII. Synthese executive</w:t>
      </w:r>
      <w:r>
        <w:tab/>
      </w:r>
      <w:r>
        <w:t>23</w:t>
      </w:r>
    </w:p>
    <w:p>
      <w:r>
        <w:fldChar w:fldCharType="end"/>
      </w:r>
    </w:p>
    <w:p>
      <w:pPr>
        <w:sectPr>
          <w:type w:val="nextPage"/>
          <w:pgSz w:w="11906" w:h="16838"/>
          <w:pgMar w:top="1800" w:right="1440" w:bottom="1440" w:left="1440" w:header="720" w:footer="720"/>
        </w:sectPr>
      </w:pPr>
    </w:p>
    <w:p>
      <w:pPr>
        <w:pStyle w:val="Heading1"/>
      </w:pPr>
      <w:r>
        <w:t>I. ANALYSE CRITIQUE DU DOCUMENT EXISTANT</w:t>
      </w:r>
      <w:bookmarkStart w:name="_Toc001" w:id="1"/>
      <w:bookmarkEnd w:id="1"/>
    </w:p>
    <w:p>
      <w:r>
        <w:t>Le document initial (version 3, 27 juin 2026) constitue une base solide et structuree, portee par une analyse juridique rigoureuse et une proposition operationnelle claire. Cependant, pour etre pleinement efficace face a la Ministre de la Sante et au DGOS, il presente plusieurs zones de vulnerabilite qu'il convient de corriger et d'enrichir.</w:t>
      </w:r>
    </w:p>
    <w:p>
      <w:pPr>
        <w:pStyle w:val="Heading2"/>
      </w:pPr>
      <w:r>
        <w:t>Points forts a conserver</w:t>
      </w:r>
    </w:p>
    <w:p>
      <w:pPr>
        <w:spacing w:after="120"/>
        <w:ind w:left="360" w:hanging="180"/>
      </w:pPr>
      <w:r>
        <w:rPr>
          <w:b/>
          <w:color w:val="2c3e50"/>
        </w:rPr>
        <w:t>• Architecture tripartite pertinente : </w:t>
      </w:r>
      <w:r>
        <w:t> l'articulation entre sous-remuneration, exclusion du Ségur et ecart missions/formation constitue le socle logique de l'argumentaire. Cette structure est difficilement attaquable car elle repose sur des faits etayes.</w:t>
      </w:r>
    </w:p>
    <w:p>
      <w:pPr>
        <w:spacing w:after="120"/>
        <w:ind w:left="360" w:hanging="180"/>
      </w:pPr>
      <w:r>
        <w:rPr>
          <w:b/>
          <w:color w:val="2c3e50"/>
        </w:rPr>
        <w:t>• Levier de la formation : </w:t>
      </w:r>
      <w:r>
        <w:t> l'alternative binaire presentee a l'axe 3 (reconnaitre et former, ou retirer les missions) demeure l'angle d'attaque le plus efficace. Il contraint la Direction a une reponse sans echappatoire.</w:t>
      </w:r>
    </w:p>
    <w:p>
      <w:pPr>
        <w:spacing w:after="120"/>
        <w:ind w:left="360" w:hanging="180"/>
      </w:pPr>
      <w:r>
        <w:rPr>
          <w:b/>
          <w:color w:val="2c3e50"/>
        </w:rPr>
        <w:t>• Proposition du module MHS : </w:t>
      </w:r>
      <w:r>
        <w:t> le formatage de la demande sous forme de bloc de competences complementaires au DEA, sur le modele de la FAE SMUR, donne une credibilite technique et reglementaire a la revendication.</w:t>
      </w:r>
    </w:p>
    <w:p>
      <w:pPr>
        <w:spacing w:after="120"/>
        <w:ind w:left="360" w:hanging="180"/>
      </w:pPr>
      <w:r>
        <w:rPr>
          <w:b/>
          <w:color w:val="2c3e50"/>
        </w:rPr>
        <w:t>• Integration progressive des evolutions : </w:t>
      </w:r>
      <w:r>
        <w:t> l'ajout des modules M3 elargi (24/06), du Plan zero contention 2030 (02/06) et du module M7 SMUR (27/06) demontre une capacite d'adaptation aux evolutions reglementaires et ministerielles.</w:t>
      </w:r>
    </w:p>
    <w:p>
      <w:pPr>
        <w:pStyle w:val="Heading2"/>
      </w:pPr>
      <w:r>
        <w:t>Faiblesses a combler - prioritaires</w:t>
      </w:r>
    </w:p>
    <w:p>
      <w:pPr>
        <w:pBdr>
          <w:left w:val="single" w:color="922b21" w:sz="24"/>
        </w:pBdr>
        <w:shd w:val="clear" w:fill="fdf2f2"/>
        <w:spacing w:before="200" w:after="200"/>
        <w:ind w:left="200" w:right="200"/>
      </w:pPr>
      <w:r>
        <w:rPr>
          <w:b/>
          <w:color w:val="922b21"/>
          <w:sz w:val="20"/>
        </w:rPr>
        <w:t>FAIBLESSE 1 : Donnees chiffrees insuffisantes pour l'echelon ministeriel </w:t>
      </w:r>
      <w:r>
        <w:rPr>
          <w:color w:val="2c3e50"/>
          <w:sz w:val="20"/>
        </w:rPr>
        <w:t>Le document manque cruellement de donnees nationales corroborant le constat local : nombre d'ambulanciers en FPH (~2 500 selon la senatrice Laurence Cohen), taux de turnover (18% annuel), difficultes de recrutement (78% des entreprises selon FNTS 2024), comparatif indiciaire chiffre B vs C. Face au DGOS, les arguments qualitatifs doivent etre systematiquement doubles de donnees quantitatives.</w:t>
      </w:r>
    </w:p>
    <w:p>
      <w:pPr>
        <w:pBdr>
          <w:left w:val="single" w:color="922b21" w:sz="24"/>
        </w:pBdr>
        <w:shd w:val="clear" w:fill="fdf2f2"/>
        <w:spacing w:before="200" w:after="200"/>
        <w:ind w:left="200" w:right="200"/>
      </w:pPr>
      <w:r>
        <w:rPr>
          <w:b/>
          <w:color w:val="922b21"/>
          <w:sz w:val="20"/>
        </w:rPr>
        <w:t>FAIBLESSE 2 : Absence de donnees de sinistralite et de traçabilite </w:t>
      </w:r>
      <w:r>
        <w:rPr>
          <w:color w:val="2c3e50"/>
          <w:sz w:val="20"/>
        </w:rPr>
        <w:t>Aucun indicateur d'incidents, d'agressions, d'accidents ou de complications cliniques en cours de transport n'est produit. Or, entre 57% et 93% des ambulanciers declarent avoir subi au moins un acte de violence au cours de leur carriere (rapport securite professionnels sante). Sans ces donnees, l'argument de risque clinique reste theorique.</w:t>
      </w:r>
    </w:p>
    <w:p>
      <w:pPr>
        <w:pBdr>
          <w:left w:val="single" w:color="922b21" w:sz="24"/>
        </w:pBdr>
        <w:shd w:val="clear" w:fill="fdf2f2"/>
        <w:spacing w:before="200" w:after="200"/>
        <w:ind w:left="200" w:right="200"/>
      </w:pPr>
      <w:r>
        <w:rPr>
          <w:b/>
          <w:color w:val="922b21"/>
          <w:sz w:val="20"/>
        </w:rPr>
        <w:t>FAIBLESSE 3 : L'argument de la privatisation absent </w:t>
      </w:r>
      <w:r>
        <w:rPr>
          <w:color w:val="2c3e50"/>
          <w:sz w:val="20"/>
        </w:rPr>
        <w:t>Le document ne mobilise pas l'argument economique de la privatisation croissante des transports hospitaliers et de son cout pour l'etablissement. Le recours a l'interim et aux prestataires privés coute 30 a 50% plus cher que le service interne. C'est un argument de gestionnaire que le DGOS ne peut ignorer.</w:t>
      </w:r>
    </w:p>
    <w:p>
      <w:pPr>
        <w:pBdr>
          <w:left w:val="single" w:color="922b21" w:sz="24"/>
        </w:pBdr>
        <w:shd w:val="clear" w:fill="fdf2f2"/>
        <w:spacing w:before="200" w:after="200"/>
        <w:ind w:left="200" w:right="200"/>
      </w:pPr>
      <w:r>
        <w:rPr>
          <w:b/>
          <w:color w:val="922b21"/>
          <w:sz w:val="20"/>
        </w:rPr>
        <w:t>FAIBLESSE 4 : Faible assise inter-etablissements </w:t>
      </w:r>
      <w:r>
        <w:rPr>
          <w:color w:val="2c3e50"/>
          <w:sz w:val="20"/>
        </w:rPr>
        <w:t>Si Angers, Tours et Lyon sont cites, aucun element factuel de ces mobilisations n'est integre (dates, effectifs mobilises, reponses obtenues). L'argumentaire gagnerait en force en demontrant une dynamique nationale et non pas seulement toulousaine.</w:t>
      </w:r>
    </w:p>
    <w:p>
      <w:pPr>
        <w:pBdr>
          <w:left w:val="single" w:color="922b21" w:sz="24"/>
        </w:pBdr>
        <w:shd w:val="clear" w:fill="fdf2f2"/>
        <w:spacing w:before="200" w:after="200"/>
        <w:ind w:left="200" w:right="200"/>
      </w:pPr>
      <w:r>
        <w:rPr>
          <w:b/>
          <w:color w:val="922b21"/>
          <w:sz w:val="20"/>
        </w:rPr>
        <w:t>FAIBLESSE 5 : Le plan blanc et le COVID sous-exploites </w:t>
      </w:r>
      <w:r>
        <w:rPr>
          <w:color w:val="2c3e50"/>
          <w:sz w:val="20"/>
        </w:rPr>
        <w:t>Le role essentiel des ambulanciers lors des plans blancs (COVID-19, canicules, attentats) n'est pas documente. C'est pourtant un argument de legitimite majeur : ces agents ont ete en premiere ligne lors des crises sanitaires sans reconnaissance statutaire.</w:t>
      </w:r>
    </w:p>
    <w:p>
      <w:pPr>
        <w:pStyle w:val="Heading2"/>
      </w:pPr>
      <w:r>
        <w:t>Recommandations strategiques</w:t>
      </w:r>
    </w:p>
    <w:p>
      <w:r>
        <w:t>Pour blinder le dossier face a la Ministre et au DGOS, il est recommande de : (1) systematiser le chiffrage de chaque argument, (2) integrer des donnees de sinistralite et de traçabilite, (3) mobiliser l'argument economique de la privatisation, (4) constituer un dossier inter-CHU documente, (5) integrer le role des ambulanciers dans les plans blancs, et (6) produire un comparatif international structuré.</w:t>
      </w:r>
    </w:p>
    <w:p>
      <w:pPr>
        <w:pStyle w:val="Heading1"/>
      </w:pPr>
      <w:r>
        <w:t>II. ELEMENTS COMPLEMENTAIRES NATIONAUX</w:t>
      </w:r>
      <w:bookmarkStart w:name="_Toc002" w:id="2"/>
      <w:bookmarkEnd w:id="2"/>
    </w:p>
    <w:p>
      <w:r>
        <w:t>Cette section constitue l'apport majeur de la presente version. Les elements qui suivent proviennent de sources institutionnelles, syndicales et academiques, et permettent de transformer un dossier local en argumentaire national.</w:t>
      </w:r>
    </w:p>
    <w:p>
      <w:pPr>
        <w:pStyle w:val="Heading2"/>
      </w:pPr>
      <w:r>
        <w:t>A. Mobilisations inter-CHU documentees</w:t>
      </w:r>
    </w:p>
    <w:p>
      <w:r>
        <w:t>Le mouvement de revendication pour le passage en categorie B n'est pas isole au CHU de Toulouse. Plusieurs etablissements ont engage des actions similaires, constituant un precedent collectif de poids.</w:t>
      </w:r>
    </w:p>
    <w:tbl>
      <w:tblPr>
        <w:tblW w:w="5000" w:type="pct"/>
        <w:tblBorders>
          <w:top w:val="single" w:color="1a2a3a" w:sz="12"/>
          <w:left w:val="nil"/>
          <w:bottom w:val="single" w:color="1a2a3a" w:sz="12"/>
          <w:right w:val="nil"/>
          <w:insideH w:val="single" w:color="d5d8dc" w:sz="4"/>
          <w:insideV w:val="nil"/>
        </w:tblBorders>
      </w:tblPr>
      <w:tblGrid>
        <w:gridCol w:w="1600"/>
        <w:gridCol w:w="1200"/>
        <w:gridCol w:w="3200"/>
        <w:gridCol w:w="2000"/>
      </w:tblGrid>
      <w:tr>
        <w:trPr>
          <w:tblHeader/>
        </w:trPr>
        <w:tc>
          <w:tcPr>
            <w:tcW w:w="1600" w:type="dxa"/>
            <w:tcBorders>
              <w:bottom w:val="single" w:color="1a2a3a" w:sz="8"/>
            </w:tcBorders>
            <w:shd w:val="clear" w:fill="eef0f2"/>
          </w:tcPr>
          <w:p>
            <w:pPr>
              <w:spacing w:before="60" w:after="60"/>
              <w:jc w:val="left"/>
            </w:pPr>
            <w:r>
              <w:rPr>
                <w:b/>
                <w:color w:val="2c3e50"/>
                <w:sz w:val="18"/>
              </w:rPr>
              <w:t>CHU / Etablissement</w:t>
            </w:r>
          </w:p>
        </w:tc>
        <w:tc>
          <w:tcPr>
            <w:tcW w:w="1200" w:type="dxa"/>
            <w:tcBorders>
              <w:bottom w:val="single" w:color="1a2a3a" w:sz="8"/>
            </w:tcBorders>
            <w:shd w:val="clear" w:fill="eef0f2"/>
          </w:tcPr>
          <w:p>
            <w:pPr>
              <w:spacing w:before="60" w:after="60"/>
              <w:jc w:val="left"/>
            </w:pPr>
            <w:r>
              <w:rPr>
                <w:b/>
                <w:color w:val="2c3e50"/>
                <w:sz w:val="18"/>
              </w:rPr>
              <w:t>Date</w:t>
            </w:r>
          </w:p>
        </w:tc>
        <w:tc>
          <w:tcPr>
            <w:tcW w:w="3200" w:type="dxa"/>
            <w:tcBorders>
              <w:bottom w:val="single" w:color="1a2a3a" w:sz="8"/>
            </w:tcBorders>
            <w:shd w:val="clear" w:fill="eef0f2"/>
          </w:tcPr>
          <w:p>
            <w:pPr>
              <w:spacing w:before="60" w:after="60"/>
              <w:jc w:val="left"/>
            </w:pPr>
            <w:r>
              <w:rPr>
                <w:b/>
                <w:color w:val="2c3e50"/>
                <w:sz w:val="18"/>
              </w:rPr>
              <w:t>Action</w:t>
            </w:r>
          </w:p>
        </w:tc>
        <w:tc>
          <w:tcPr>
            <w:tcW w:w="2000" w:type="dxa"/>
            <w:tcBorders>
              <w:bottom w:val="single" w:color="1a2a3a" w:sz="8"/>
            </w:tcBorders>
            <w:shd w:val="clear" w:fill="eef0f2"/>
          </w:tcPr>
          <w:p>
            <w:pPr>
              <w:spacing w:before="60" w:after="60"/>
              <w:jc w:val="left"/>
            </w:pPr>
            <w:r>
              <w:rPr>
                <w:b/>
                <w:color w:val="2c3e50"/>
                <w:sz w:val="18"/>
              </w:rPr>
              <w:t>Resultat</w:t>
            </w:r>
          </w:p>
        </w:tc>
      </w:tr>
      <w:tr>
        <w:tc>
          <w:tcPr>
            <w:tcW w:w="1600" w:type="dxa"/>
          </w:tcPr>
          <w:p>
            <w:pPr>
              <w:spacing w:before="40" w:after="40"/>
            </w:pPr>
            <w:r>
              <w:rPr>
                <w:color w:val="2c3e50"/>
                <w:sz w:val="18"/>
              </w:rPr>
              <w:t>CHU d'Angers</w:t>
            </w:r>
          </w:p>
        </w:tc>
        <w:tc>
          <w:tcPr>
            <w:tcW w:w="1200" w:type="dxa"/>
          </w:tcPr>
          <w:p>
            <w:pPr>
              <w:spacing w:before="40" w:after="40"/>
            </w:pPr>
            <w:r>
              <w:rPr>
                <w:color w:val="2c3e50"/>
                <w:sz w:val="18"/>
              </w:rPr>
              <w:t>2021</w:t>
            </w:r>
          </w:p>
        </w:tc>
        <w:tc>
          <w:tcPr>
            <w:tcW w:w="3200" w:type="dxa"/>
          </w:tcPr>
          <w:p>
            <w:pPr>
              <w:spacing w:before="40" w:after="40"/>
            </w:pPr>
            <w:r>
              <w:rPr>
                <w:color w:val="2c3e50"/>
                <w:sz w:val="18"/>
              </w:rPr>
              <w:t>Greve depuis mai 2021, appel a manifestation nationale a Paris, 51 courriers au Ministre</w:t>
            </w:r>
          </w:p>
        </w:tc>
        <w:tc>
          <w:tcPr>
            <w:tcW w:w="2000" w:type="dxa"/>
          </w:tcPr>
          <w:p>
            <w:pPr>
              <w:spacing w:before="40" w:after="40"/>
            </w:pPr>
            <w:r>
              <w:rPr>
                <w:color w:val="2c3e50"/>
                <w:sz w:val="18"/>
              </w:rPr>
              <w:t>Sans reponse ministerielle</w:t>
            </w:r>
          </w:p>
        </w:tc>
      </w:tr>
      <w:tr>
        <w:tc>
          <w:tcPr>
            <w:tcW w:w="1600" w:type="dxa"/>
          </w:tcPr>
          <w:p>
            <w:pPr>
              <w:spacing w:before="40" w:after="40"/>
            </w:pPr>
            <w:r>
              <w:rPr>
                <w:color w:val="2c3e50"/>
                <w:sz w:val="18"/>
              </w:rPr>
              <w:t>CHU de Tours</w:t>
            </w:r>
          </w:p>
        </w:tc>
        <w:tc>
          <w:tcPr>
            <w:tcW w:w="1200" w:type="dxa"/>
          </w:tcPr>
          <w:p>
            <w:pPr>
              <w:spacing w:before="40" w:after="40"/>
            </w:pPr>
            <w:r>
              <w:rPr>
                <w:color w:val="2c3e50"/>
                <w:sz w:val="18"/>
              </w:rPr>
              <w:t>2021-2024</w:t>
            </w:r>
          </w:p>
        </w:tc>
        <w:tc>
          <w:tcPr>
            <w:tcW w:w="3200" w:type="dxa"/>
          </w:tcPr>
          <w:p>
            <w:pPr>
              <w:spacing w:before="40" w:after="40"/>
            </w:pPr>
            <w:r>
              <w:rPr>
                <w:color w:val="2c3e50"/>
                <w:sz w:val="18"/>
              </w:rPr>
              <w:t>Mobilisation syndicale CGT/SUD pour le passage en categorie B</w:t>
            </w:r>
          </w:p>
        </w:tc>
        <w:tc>
          <w:tcPr>
            <w:tcW w:w="2000" w:type="dxa"/>
          </w:tcPr>
          <w:p>
            <w:pPr>
              <w:spacing w:before="40" w:after="40"/>
            </w:pPr>
            <w:r>
              <w:rPr>
                <w:color w:val="2c3e50"/>
                <w:sz w:val="18"/>
              </w:rPr>
              <w:t>En cours de negociation</w:t>
            </w:r>
          </w:p>
        </w:tc>
      </w:tr>
      <w:tr>
        <w:tc>
          <w:tcPr>
            <w:tcW w:w="1600" w:type="dxa"/>
          </w:tcPr>
          <w:p>
            <w:pPr>
              <w:spacing w:before="40" w:after="40"/>
            </w:pPr>
            <w:r>
              <w:rPr>
                <w:color w:val="2c3e50"/>
                <w:sz w:val="18"/>
              </w:rPr>
              <w:t>CHU de Lyon</w:t>
            </w:r>
          </w:p>
        </w:tc>
        <w:tc>
          <w:tcPr>
            <w:tcW w:w="1200" w:type="dxa"/>
          </w:tcPr>
          <w:p>
            <w:pPr>
              <w:spacing w:before="40" w:after="40"/>
            </w:pPr>
            <w:r>
              <w:rPr>
                <w:color w:val="2c3e50"/>
                <w:sz w:val="18"/>
              </w:rPr>
              <w:t>2022-2024</w:t>
            </w:r>
          </w:p>
        </w:tc>
        <w:tc>
          <w:tcPr>
            <w:tcW w:w="3200" w:type="dxa"/>
          </w:tcPr>
          <w:p>
            <w:pPr>
              <w:spacing w:before="40" w:after="40"/>
            </w:pPr>
            <w:r>
              <w:rPr>
                <w:color w:val="2c3e50"/>
                <w:sz w:val="18"/>
              </w:rPr>
              <w:t>Modele de reference cite pour les transports UHSI et securises</w:t>
            </w:r>
          </w:p>
        </w:tc>
        <w:tc>
          <w:tcPr>
            <w:tcW w:w="2000" w:type="dxa"/>
          </w:tcPr>
          <w:p>
            <w:pPr>
              <w:spacing w:before="40" w:after="40"/>
            </w:pPr>
            <w:r>
              <w:rPr>
                <w:color w:val="2c3e50"/>
                <w:sz w:val="18"/>
              </w:rPr>
              <w:t>Mobilisation active</w:t>
            </w:r>
          </w:p>
        </w:tc>
      </w:tr>
      <w:tr>
        <w:tc>
          <w:tcPr>
            <w:tcW w:w="1600" w:type="dxa"/>
          </w:tcPr>
          <w:p>
            <w:pPr>
              <w:spacing w:before="40" w:after="40"/>
            </w:pPr>
            <w:r>
              <w:rPr>
                <w:color w:val="2c3e50"/>
                <w:sz w:val="18"/>
              </w:rPr>
              <w:t>AP-HP Paris</w:t>
            </w:r>
          </w:p>
        </w:tc>
        <w:tc>
          <w:tcPr>
            <w:tcW w:w="1200" w:type="dxa"/>
          </w:tcPr>
          <w:p>
            <w:pPr>
              <w:spacing w:before="40" w:after="40"/>
            </w:pPr>
            <w:r>
              <w:rPr>
                <w:color w:val="2c3e50"/>
                <w:sz w:val="18"/>
              </w:rPr>
              <w:t>2023</w:t>
            </w:r>
          </w:p>
        </w:tc>
        <w:tc>
          <w:tcPr>
            <w:tcW w:w="3200" w:type="dxa"/>
          </w:tcPr>
          <w:p>
            <w:pPr>
              <w:spacing w:before="40" w:after="40"/>
            </w:pPr>
            <w:r>
              <w:rPr>
                <w:color w:val="2c3e50"/>
                <w:sz w:val="18"/>
              </w:rPr>
              <w:t>Integration a la filiere soignante (decret 2022-1658) sans changement de categorie</w:t>
            </w:r>
          </w:p>
        </w:tc>
        <w:tc>
          <w:tcPr>
            <w:tcW w:w="2000" w:type="dxa"/>
          </w:tcPr>
          <w:p>
            <w:pPr>
              <w:spacing w:before="40" w:after="40"/>
            </w:pPr>
            <w:r>
              <w:rPr>
                <w:color w:val="2c3e50"/>
                <w:sz w:val="18"/>
              </w:rPr>
              <w:t>Reclassement sans revalorisation</w:t>
            </w:r>
          </w:p>
        </w:tc>
      </w:tr>
      <w:tr>
        <w:tc>
          <w:tcPr>
            <w:tcW w:w="1600" w:type="dxa"/>
          </w:tcPr>
          <w:p>
            <w:pPr>
              <w:spacing w:before="40" w:after="40"/>
            </w:pPr>
            <w:r>
              <w:rPr>
                <w:color w:val="2c3e50"/>
                <w:sz w:val="18"/>
              </w:rPr>
              <w:t>CHU de Toulouse</w:t>
            </w:r>
          </w:p>
        </w:tc>
        <w:tc>
          <w:tcPr>
            <w:tcW w:w="1200" w:type="dxa"/>
          </w:tcPr>
          <w:p>
            <w:pPr>
              <w:spacing w:before="40" w:after="40"/>
            </w:pPr>
            <w:r>
              <w:rPr>
                <w:color w:val="2c3e50"/>
                <w:sz w:val="18"/>
              </w:rPr>
              <w:t>2024-2026</w:t>
            </w:r>
          </w:p>
        </w:tc>
        <w:tc>
          <w:tcPr>
            <w:tcW w:w="3200" w:type="dxa"/>
          </w:tcPr>
          <w:p>
            <w:pPr>
              <w:spacing w:before="40" w:after="40"/>
            </w:pPr>
            <w:r>
              <w:rPr>
                <w:color w:val="2c3e50"/>
                <w:sz w:val="18"/>
              </w:rPr>
              <w:t>Greve juin 2026, contre-proposition syndicale, saisine ministerielle du 24/06/2026</w:t>
            </w:r>
          </w:p>
        </w:tc>
        <w:tc>
          <w:tcPr>
            <w:tcW w:w="2000" w:type="dxa"/>
          </w:tcPr>
          <w:p>
            <w:pPr>
              <w:spacing w:before="40" w:after="40"/>
            </w:pPr>
            <w:r>
              <w:rPr>
                <w:color w:val="2c3e50"/>
                <w:sz w:val="18"/>
              </w:rPr>
              <w:t>En attente de reponse</w:t>
            </w:r>
          </w:p>
        </w:tc>
      </w:tr>
      <w:tr>
        <w:tc>
          <w:tcPr>
            <w:tcW w:w="1600" w:type="dxa"/>
          </w:tcPr>
          <w:p>
            <w:pPr>
              <w:spacing w:before="40" w:after="40"/>
            </w:pPr>
            <w:r>
              <w:rPr>
                <w:color w:val="2c3e50"/>
                <w:sz w:val="18"/>
              </w:rPr>
              <w:t>CHU de Marseille</w:t>
            </w:r>
          </w:p>
        </w:tc>
        <w:tc>
          <w:tcPr>
            <w:tcW w:w="1200" w:type="dxa"/>
          </w:tcPr>
          <w:p>
            <w:pPr>
              <w:spacing w:before="40" w:after="40"/>
            </w:pPr>
            <w:r>
              <w:rPr>
                <w:color w:val="2c3e50"/>
                <w:sz w:val="18"/>
              </w:rPr>
              <w:t>2023-2024</w:t>
            </w:r>
          </w:p>
        </w:tc>
        <w:tc>
          <w:tcPr>
            <w:tcW w:w="3200" w:type="dxa"/>
          </w:tcPr>
          <w:p>
            <w:pPr>
              <w:spacing w:before="40" w:after="40"/>
            </w:pPr>
            <w:r>
              <w:rPr>
                <w:color w:val="2c3e50"/>
                <w:sz w:val="18"/>
              </w:rPr>
              <w:t>Revue des fiches de poste et des missions hors referentiel</w:t>
            </w:r>
          </w:p>
        </w:tc>
        <w:tc>
          <w:tcPr>
            <w:tcW w:w="2000" w:type="dxa"/>
          </w:tcPr>
          <w:p>
            <w:pPr>
              <w:spacing w:before="40" w:after="40"/>
            </w:pPr>
            <w:r>
              <w:rPr>
                <w:color w:val="2c3e50"/>
                <w:sz w:val="18"/>
              </w:rPr>
              <w:t>Dossier en construction</w:t>
            </w:r>
          </w:p>
        </w:tc>
      </w:tr>
      <w:tr>
        <w:tc>
          <w:tcPr>
            <w:tcW w:w="1600" w:type="dxa"/>
          </w:tcPr>
          <w:p>
            <w:pPr>
              <w:spacing w:before="40" w:after="40"/>
            </w:pPr>
            <w:r>
              <w:rPr>
                <w:color w:val="2c3e50"/>
                <w:sz w:val="18"/>
              </w:rPr>
              <w:t>CHU de Montpellier</w:t>
            </w:r>
          </w:p>
        </w:tc>
        <w:tc>
          <w:tcPr>
            <w:tcW w:w="1200" w:type="dxa"/>
          </w:tcPr>
          <w:p>
            <w:pPr>
              <w:spacing w:before="40" w:after="40"/>
            </w:pPr>
            <w:r>
              <w:rPr>
                <w:color w:val="2c3e50"/>
                <w:sz w:val="18"/>
              </w:rPr>
              <w:t>2022-2023</w:t>
            </w:r>
          </w:p>
        </w:tc>
        <w:tc>
          <w:tcPr>
            <w:tcW w:w="3200" w:type="dxa"/>
          </w:tcPr>
          <w:p>
            <w:pPr>
              <w:spacing w:before="40" w:after="40"/>
            </w:pPr>
            <w:r>
              <w:rPr>
                <w:color w:val="2c3e50"/>
                <w:sz w:val="18"/>
              </w:rPr>
              <w:t>Question juridictionnelle sur les transports sanitaires (Conseil d'Etat)</w:t>
            </w:r>
          </w:p>
        </w:tc>
        <w:tc>
          <w:tcPr>
            <w:tcW w:w="2000" w:type="dxa"/>
          </w:tcPr>
          <w:p>
            <w:pPr>
              <w:spacing w:before="40" w:after="40"/>
            </w:pPr>
            <w:r>
              <w:rPr>
                <w:color w:val="2c3e50"/>
                <w:sz w:val="18"/>
              </w:rPr>
              <w:t>Jurisprudence en cours</w:t>
            </w:r>
          </w:p>
        </w:tc>
      </w:tr>
    </w:tbl>
    <w:p>
      <w:r>
        <w:t>L'absence de reponse ministerielle a ces mobilisations successives constitue elle-meme un element de dossier : la revendication est ancienne, legitime et partagee sur l'ensemble du territoire. Le cas d'Angers est particulierement significatif : 51 ambulanciers ont directement saisi le Ministre sans reponse, demontrant l'ampleur de la frustration.</w:t>
      </w:r>
    </w:p>
    <w:p>
      <w:pPr>
        <w:pStyle w:val="Heading2"/>
      </w:pPr>
      <w:r>
        <w:t>B. Donnees de tension RH nationale</w:t>
      </w:r>
    </w:p>
    <w:p>
      <w:r>
        <w:t>La profession d'ambulancier connait une crise d'attractivite sans precedent, que le maintien en categorie C aggrave. Les donnees nationales suivantes renforcent l'argument du risque RH :</w:t>
      </w:r>
    </w:p>
    <w:p>
      <w:pPr>
        <w:pStyle w:val="Heading3"/>
      </w:pPr>
      <w:r>
        <w:t>Effectifs et turnover</w:t>
      </w:r>
    </w:p>
    <w:p>
      <w:pPr>
        <w:spacing w:after="120"/>
        <w:ind w:left="360" w:hanging="180"/>
      </w:pPr>
      <w:r>
        <w:rPr>
          <w:b/>
          <w:color w:val="2c3e50"/>
        </w:rPr>
        <w:t>• Effectifs : </w:t>
      </w:r>
      <w:r>
        <w:t> environ 2 500 ambulanciers en FPH (question senatrice Laurence Cohen, juin 2023) ; environ 19 650 ambulanciers au total en France (DARES 2023) dont 24% en hopital public.</w:t>
      </w:r>
    </w:p>
    <w:p>
      <w:pPr>
        <w:spacing w:after="120"/>
        <w:ind w:left="360" w:hanging="180"/>
      </w:pPr>
      <w:r>
        <w:rPr>
          <w:b/>
          <w:color w:val="2c3e50"/>
        </w:rPr>
        <w:t>• Turnover : </w:t>
      </w:r>
      <w:r>
        <w:t> 18% annuel dans le secteur, superieur a la moyenne nationale de 15% (FNTS 2022). Ce taux est particulierement eleve pour un metier de soins necessitant un diplome d'Etat.</w:t>
      </w:r>
    </w:p>
    <w:p>
      <w:pPr>
        <w:spacing w:after="120"/>
        <w:ind w:left="360" w:hanging="180"/>
      </w:pPr>
      <w:r>
        <w:rPr>
          <w:b/>
          <w:color w:val="2c3e50"/>
        </w:rPr>
        <w:t>• Difficultes de recrutement : </w:t>
      </w:r>
      <w:r>
        <w:t> 78% des entreprises de transport sanitaire declarent des difficultes de recrutement (enquete FNTS 2024) ; 50% des etablissements de transport sanitaire rencontrent ces difficultes (+14 points en un an selon l'enquete Tableau de bord AFT 2025).</w:t>
      </w:r>
    </w:p>
    <w:p>
      <w:pPr>
        <w:spacing w:after="120"/>
        <w:ind w:left="360" w:hanging="180"/>
      </w:pPr>
      <w:r>
        <w:rPr>
          <w:b/>
          <w:color w:val="2c3e50"/>
        </w:rPr>
        <w:t>• Epuisement professionnel : </w:t>
      </w:r>
      <w:r>
        <w:t> 47% des ambulanciers declarent des symptomes d'epuisement professionnel (Observatoire national qualite de vie au travail, 2022).</w:t>
      </w:r>
    </w:p>
    <w:p>
      <w:pPr>
        <w:spacing w:after="120"/>
        <w:ind w:left="360" w:hanging="180"/>
      </w:pPr>
      <w:r>
        <w:rPr>
          <w:b/>
          <w:color w:val="2c3e50"/>
        </w:rPr>
        <w:t>• Accidentologie : </w:t>
      </w:r>
      <w:r>
        <w:t> le taux d'accidentologie des ambulanciers est 2,5 fois superieur a la moyenne des professions de sante (Securite Routiere, 2023).</w:t>
      </w:r>
    </w:p>
    <w:p>
      <w:pPr>
        <w:pStyle w:val="Heading3"/>
      </w:pPr>
      <w:r>
        <w:t>Ecarts salariaux B vs C - donnees chiffrees</w:t>
      </w:r>
    </w:p>
    <w:p>
      <w:r>
        <w:t>La grille indiciaire actuelle place les ambulanciers en categorie C2/C3, avec des remunerations de debut de carriere sous le seuil d'attractivite :</w:t>
      </w:r>
    </w:p>
    <w:p>
      <w:pPr>
        <w:spacing w:after="120"/>
        <w:ind w:left="360" w:hanging="180"/>
      </w:pPr>
      <w:r>
        <w:rPr>
          <w:b/>
          <w:color w:val="2c3e50"/>
        </w:rPr>
        <w:t>• Debutant categorie C (FPH) : </w:t>
      </w:r>
      <w:r>
        <w:t> environ 1 650 a 1 970 euros bruts mensuels selon l'echelon, soit potentiellement sous le SMIC pour les premiers echelons.</w:t>
      </w:r>
    </w:p>
    <w:p>
      <w:pPr>
        <w:spacing w:after="120"/>
        <w:ind w:left="360" w:hanging="180"/>
      </w:pPr>
      <w:r>
        <w:rPr>
          <w:b/>
          <w:color w:val="2c3e50"/>
        </w:rPr>
        <w:t>• Aide-soignant categorie B (post-Segur) : </w:t>
      </w:r>
      <w:r>
        <w:t> environ 1 800 a 2 100 euros bruts mensuels en debut de carriere, avec une progression plus rapide et des primes specifiques (prime de 100 euros mensuelle attribuee aux soignants).</w:t>
      </w:r>
    </w:p>
    <w:p>
      <w:pPr>
        <w:spacing w:after="120"/>
        <w:ind w:left="360" w:hanging="180"/>
      </w:pPr>
      <w:r>
        <w:rPr>
          <w:b/>
          <w:color w:val="2c3e50"/>
        </w:rPr>
        <w:t>• Ecart constate : </w:t>
      </w:r>
      <w:r>
        <w:t> l'ecart entre categorie B et C se situe entre 150 et 300 euros mensuels en debut de carriere, et s'amplifie avec l'anciennete. L'absence de reclassement en B prive les ambulanciers des primes Ségur et de la prime de 100 euros mensuelle.</w:t>
      </w:r>
    </w:p>
    <w:p>
      <w:pPr>
        <w:pStyle w:val="Heading2"/>
      </w:pPr>
      <w:r>
        <w:t>C. Privatisation et recours a l'interim - argument economique</w:t>
      </w:r>
    </w:p>
    <w:p>
      <w:r>
        <w:t>La privatisation croissante des transports hospitaliers constitue un argument de poids aupres du DGOS, car elle touche directement a la performance economique des etablissements.</w:t>
      </w:r>
    </w:p>
    <w:p>
      <w:pPr>
        <w:spacing w:after="120"/>
        <w:ind w:left="360" w:hanging="180"/>
      </w:pPr>
      <w:r>
        <w:rPr>
          <w:b/>
          <w:color w:val="2c3e50"/>
        </w:rPr>
        <w:t>• Sous-traitance generalisee : </w:t>
      </w:r>
      <w:r>
        <w:t> les CHU externalisent de plus en plus les transports sanitaires vers des operateurs prives (entreprises de transport sanitaire, societes d'interim). Cette tendance s'explique par les difficultes de recrutement en personnel propre.</w:t>
      </w:r>
    </w:p>
    <w:p>
      <w:pPr>
        <w:spacing w:after="120"/>
        <w:ind w:left="360" w:hanging="180"/>
      </w:pPr>
      <w:r>
        <w:rPr>
          <w:b/>
          <w:color w:val="2c3e50"/>
        </w:rPr>
        <w:t>• Surcout de l'interim : </w:t>
      </w:r>
      <w:r>
        <w:t> le recours a l'interim pour les transports sanitaires coute entre 30 et 50% plus cher qu'un agent statutaire, hors prise en charge de la formation et de l'integration. Ce surcout est supporte par le T2A de l'etablissement.</w:t>
      </w:r>
    </w:p>
    <w:p>
      <w:pPr>
        <w:spacing w:after="120"/>
        <w:ind w:left="360" w:hanging="180"/>
      </w:pPr>
      <w:r>
        <w:rPr>
          <w:b/>
          <w:color w:val="2c3e50"/>
        </w:rPr>
        <w:t>• Perte de traçabilite : </w:t>
      </w:r>
      <w:r>
        <w:t> les transports externalises perdent la traçabilite interne : les donnees sur les incidents, les temps de transport, la qualite de prise en charge ne sont plus centralisees par l'etablissement, ce qui fragilise la gouvernance clinique et la securite patient.</w:t>
      </w:r>
    </w:p>
    <w:p>
      <w:pPr>
        <w:spacing w:after="120"/>
        <w:ind w:left="360" w:hanging="180"/>
      </w:pPr>
      <w:r>
        <w:rPr>
          <w:b/>
          <w:color w:val="2c3e50"/>
        </w:rPr>
        <w:t>• Perennite du service : </w:t>
      </w:r>
      <w:r>
        <w:t> la dependance aux prestataires externes rend le service vulnerable aux greves, aux ruptures de contrat et aux fluctuations du marche. Le CHU de Toulouse a connu des situations de blocage des transports lors de mouvements sociaux des ambulanciers prives.</w:t>
      </w:r>
    </w:p>
    <w:p>
      <w:pPr>
        <w:pBdr>
          <w:left w:val="single" w:color="c9a227" w:sz="24"/>
        </w:pBdr>
        <w:shd w:val="clear" w:fill="fef9e7"/>
        <w:spacing w:before="200" w:after="200"/>
        <w:ind w:left="200" w:right="200"/>
      </w:pPr>
      <w:r>
        <w:rPr>
          <w:b/>
          <w:color w:val="c9a227"/>
          <w:sz w:val="20"/>
        </w:rPr>
        <w:t>ARGUMENT-CLF ECONOMIQUE </w:t>
      </w:r>
      <w:r>
        <w:rPr>
          <w:color w:val="2c3e50"/>
          <w:sz w:val="20"/>
        </w:rPr>
        <w:t>Le passage en categorie B n'est pas une charge supplementaire pour la collectivite, c'est un investissement en stabilite RH. Comparons : le cout annuel d'un passage en B pour un effectif de 50 ambulanciers est estime entre 150 000 et 200 000 euros. Le cout du recours a l'interim pour 20% des postes, d'un turnover a 18% et des greves repetees depasse largement ce montant. C'est un calcul de gestionnaire.</w:t>
      </w:r>
    </w:p>
    <w:p>
      <w:pPr>
        <w:pStyle w:val="Heading2"/>
      </w:pPr>
      <w:r>
        <w:t>D. Donnees de sinistralite et traçabilite</w:t>
      </w:r>
    </w:p>
    <w:p>
      <w:r>
        <w:t>La securite des transports hospitaliers est un enjeu majeur de qualite des soins. Les donnees suivantes documentent les risques reels encourus par les ambulanciers :</w:t>
      </w:r>
    </w:p>
    <w:p>
      <w:pPr>
        <w:spacing w:after="120"/>
        <w:ind w:left="360" w:hanging="180"/>
      </w:pPr>
      <w:r>
        <w:rPr>
          <w:b/>
          <w:color w:val="2c3e50"/>
        </w:rPr>
        <w:t>• Violences a l'encontre des ambulanciers : </w:t>
      </w:r>
      <w:r>
        <w:t> entre 57% et 93% des ambulanciers declarent avoir subi au moins un acte de violence verbale et/ou physique au cours de leur carriere, et 38% dans les six derniers mois (rapport securite professionnels sante, cite dans TF1 Info aout 2025).</w:t>
      </w:r>
    </w:p>
    <w:p>
      <w:pPr>
        <w:spacing w:after="120"/>
        <w:ind w:left="360" w:hanging="180"/>
      </w:pPr>
      <w:r>
        <w:rPr>
          <w:b/>
          <w:color w:val="2c3e50"/>
        </w:rPr>
        <w:t>• Motifs psychiatriques : </w:t>
      </w:r>
      <w:r>
        <w:t> les transports de patients psychiatriques ont augmente de 13% depuis le COVID (SOS Ambulances, 2025), avec une correlation directe sur la hausse des agressions.</w:t>
      </w:r>
    </w:p>
    <w:p>
      <w:pPr>
        <w:spacing w:after="120"/>
        <w:ind w:left="360" w:hanging="180"/>
      </w:pPr>
      <w:r>
        <w:rPr>
          <w:b/>
          <w:color w:val="2c3e50"/>
        </w:rPr>
        <w:t>• Agressions physiques : </w:t>
      </w:r>
      <w:r>
        <w:t> 65% des repondants a une etude internationale de la Central Queensland University (2018) ont declare avoir ete confrontes a des violences physiques durant leur service au cours des 12 derniers mois.</w:t>
      </w:r>
    </w:p>
    <w:p>
      <w:pPr>
        <w:spacing w:after="120"/>
        <w:ind w:left="360" w:hanging="180"/>
      </w:pPr>
      <w:r>
        <w:rPr>
          <w:b/>
          <w:color w:val="2c3e50"/>
        </w:rPr>
        <w:t>• Traçabilite insuffisante : </w:t>
      </w:r>
      <w:r>
        <w:t> a ce jour, aucun registre national de sinistralite des transports hospitaliers n'existe. Les incidents (agressions, complications cliniques, accidents) ne sont pas systematiquement enregistres, ce qui empeche toute analyse prospective et toute politique de prevention.</w:t>
      </w:r>
    </w:p>
    <w:p>
      <w:pPr>
        <w:pStyle w:val="Heading2"/>
      </w:pPr>
      <w:r>
        <w:t>E. Le role dans les plans blancs et crises sanitaires</w:t>
      </w:r>
    </w:p>
    <w:p>
      <w:r>
        <w:t>Les ambulanciers hospitaliers ont joue un role essentiel lors de la crise COVID-19 et lors de tous les plans blancs declenches. Pourtant, ce role n'a jamais ete reconnu statutairement.</w:t>
      </w:r>
    </w:p>
    <w:p>
      <w:pPr>
        <w:spacing w:after="120"/>
        <w:ind w:left="360" w:hanging="180"/>
      </w:pPr>
      <w:r>
        <w:rPr>
          <w:b/>
          <w:color w:val="2c3e50"/>
        </w:rPr>
        <w:t>• Mobilisation COVID-19 : </w:t>
      </w:r>
      <w:r>
        <w:t> les ambulanciers ont assure les transferts inter-etablissements de patients COVID, la livraison de materiel, le soutien aux services de reanimation surcharges, et la participation aux plans blancs elargis.</w:t>
      </w:r>
    </w:p>
    <w:p>
      <w:pPr>
        <w:spacing w:after="120"/>
        <w:ind w:left="360" w:hanging="180"/>
      </w:pPr>
      <w:r>
        <w:rPr>
          <w:b/>
          <w:color w:val="2c3e50"/>
        </w:rPr>
        <w:t>• Deficit de reconnaissance : </w:t>
      </w:r>
      <w:r>
        <w:t> contrairement aux autres professions de sante qui ont beneficie de primes COVID et de mesures de reconnaissance, les ambulanciers n'ont recu aucune mesure specifique de revalorisation.</w:t>
      </w:r>
    </w:p>
    <w:p>
      <w:pPr>
        <w:spacing w:after="120"/>
        <w:ind w:left="360" w:hanging="180"/>
      </w:pPr>
      <w:r>
        <w:rPr>
          <w:b/>
          <w:color w:val="2c3e50"/>
        </w:rPr>
        <w:t>• Premiere ligne sans statut : </w:t>
      </w:r>
      <w:r>
        <w:t> les ambulanciers ont ete exposes au risque infectieux (transports de patients COVID positifs) sans equipement de protection individuelle adapte dans les premiers mois, sans formation specifique, et sans reconnaissance du caractere a risque de leur mission.</w:t>
      </w:r>
    </w:p>
    <w:p>
      <w:pPr>
        <w:pStyle w:val="Heading1"/>
      </w:pPr>
      <w:r>
        <w:t>III. LES QUATRE AXES ARGUMENTAIRES RENFORCES</w:t>
      </w:r>
      <w:bookmarkStart w:name="_Toc003" w:id="3"/>
      <w:bookmarkEnd w:id="3"/>
    </w:p>
    <w:p>
      <w:r>
        <w:t>Les quatre axes du document initial sont conserves dans leur structure mais enrichis des elements complementaires documentes ci-dessus.</w:t>
      </w:r>
    </w:p>
    <w:p>
      <w:pPr>
        <w:pStyle w:val="Heading2"/>
      </w:pPr>
      <w:r>
        <w:t>Axe 1 - L'elargissement des missions au-dela du referentiel DEA 2022</w:t>
      </w:r>
    </w:p>
    <w:p>
      <w:r>
        <w:t>Cet axe, le plus solide du document initial, est renforce par trois elements complementaires :</w:t>
      </w:r>
    </w:p>
    <w:p>
      <w:pPr>
        <w:spacing w:after="120"/>
        <w:ind w:left="360" w:hanging="180"/>
      </w:pPr>
      <w:r>
        <w:rPr>
          <w:b/>
          <w:color w:val="2c3e50"/>
        </w:rPr>
        <w:t>•  </w:t>
      </w:r>
      <w:r>
        <w:t>Le referentiel metier ambulancier SMUR 2023 de la SFMU confirme que l'ambulancier SMUR exerce 10 domaines de competences distincts, dont l'assistance aux gestes de reanimation, le damage control prehospitalier, et la gestion de scene complexe - toutes competences exercées sans cadre de formation national au RNCP.</w:t>
      </w:r>
    </w:p>
    <w:p>
      <w:pPr>
        <w:spacing w:after="120"/>
        <w:ind w:left="360" w:hanging="180"/>
      </w:pPr>
      <w:r>
        <w:rPr>
          <w:b/>
          <w:color w:val="2c3e50"/>
        </w:rPr>
        <w:t>•  </w:t>
      </w:r>
      <w:r>
        <w:t>L'ambulancier SMUR participe a l'encadrement et au suivi des stagiaires, a l'aide aux soins d'urgence dans les structures d'urgences, et aux controles de conformite des outils biomedicaux - missions de responsabilite incompatible avec un statut de categorie C.</w:t>
      </w:r>
    </w:p>
    <w:p>
      <w:pPr>
        <w:spacing w:after="120"/>
        <w:ind w:left="360" w:hanging="180"/>
      </w:pPr>
      <w:r>
        <w:rPr>
          <w:b/>
          <w:color w:val="2c3e50"/>
        </w:rPr>
        <w:t>•  </w:t>
      </w:r>
      <w:r>
        <w:t>La question parlementaire de M. Christophe Naegelen (deputé des Vosges) du 28 mai 2024 sollicite officiellement la creation d'une specialite dediee aux ambulanciers SMUR, reconnaissant que leur profession repose sur 'deux metiers distincts, dont un ne beneficiant d'aucune reconnaissance statutaire specifique'.</w:t>
      </w:r>
    </w:p>
    <w:p>
      <w:pPr>
        <w:pStyle w:val="Heading2"/>
      </w:pPr>
      <w:r>
        <w:t>Axe 2 - Le precedent du Segur : iniquite de traitement constatee</w:t>
      </w:r>
    </w:p>
    <w:p>
      <w:r>
        <w:t>Cet axe est renforce par les elements suivants :</w:t>
      </w:r>
    </w:p>
    <w:p>
      <w:pPr>
        <w:spacing w:after="120"/>
        <w:ind w:left="360" w:hanging="180"/>
      </w:pPr>
      <w:r>
        <w:rPr>
          <w:b/>
          <w:color w:val="2c3e50"/>
        </w:rPr>
        <w:t>•  </w:t>
      </w:r>
      <w:r>
        <w:t>Le groupe de travail ministériel sur la VAE (Validation des Acquis de l'Experience) du 7 novembre 2025 a officiellement reconnu que le niveau de competences exige pour le DEA 'relève sans conteste de la categorie B de la fonction publique'. Le ministère reconnaît lui-même l'equivalence niveau bac (niveau 4) tout en maintenant les agents en categorie C.</w:t>
      </w:r>
    </w:p>
    <w:p>
      <w:pPr>
        <w:spacing w:after="120"/>
        <w:ind w:left="360" w:hanging="180"/>
      </w:pPr>
      <w:r>
        <w:rPr>
          <w:b/>
          <w:color w:val="2c3e50"/>
        </w:rPr>
        <w:t>•  </w:t>
      </w:r>
      <w:r>
        <w:t>Force Ouvrière a confirme lors de ce groupe de travail que 'la technicite exigee, la responsabilite professionnelle et la complexite des missions exercees par les ambulanciers ne sont plus compatibles avec un statut de categorie C'.</w:t>
      </w:r>
    </w:p>
    <w:p>
      <w:pPr>
        <w:spacing w:after="120"/>
        <w:ind w:left="360" w:hanging="180"/>
      </w:pPr>
      <w:r>
        <w:rPr>
          <w:b/>
          <w:color w:val="2c3e50"/>
        </w:rPr>
        <w:t>•  </w:t>
      </w:r>
      <w:r>
        <w:t>La comparaison avec les aides-soignants est d'autant plus legitime que les ambulanciers exercent des missions de soins 'a part entiere' : prise en charge clinique, participation a la chaine des urgences prehospitalieres, maitrise des gestes d'urgence, application des protocoles d'hygiene et de securite.</w:t>
      </w:r>
    </w:p>
    <w:p>
      <w:pPr>
        <w:pStyle w:val="Heading2"/>
      </w:pPr>
      <w:r>
        <w:t>Axe 3 - Le deficit de formation : levier de negociation</w:t>
      </w:r>
    </w:p>
    <w:p>
      <w:r>
        <w:t>Cet axe, l'angle d'attaque le plus difficile a refuter, est renforce par :</w:t>
      </w:r>
    </w:p>
    <w:p>
      <w:pPr>
        <w:spacing w:after="120"/>
        <w:ind w:left="360" w:hanging="180"/>
      </w:pPr>
      <w:r>
        <w:rPr>
          <w:b/>
          <w:color w:val="2c3e50"/>
        </w:rPr>
        <w:t>•  </w:t>
      </w:r>
      <w:r>
        <w:t>La France est le seul grand pays a ne disposer d'aucun positionnement RNCP specifique pour l'ambulancier specialise en urgence prehospitaliere.</w:t>
      </w:r>
    </w:p>
    <w:p>
      <w:pPr>
        <w:spacing w:after="120"/>
        <w:ind w:left="360" w:hanging="180"/>
      </w:pPr>
      <w:r>
        <w:rPr>
          <w:b/>
          <w:color w:val="2c3e50"/>
        </w:rPr>
        <w:t>• Comparatif international : </w:t>
      </w:r>
      <w:r>
        <w:t> Royaume-Uni (paramedic reconnu par HCPC), Allemagne (Notfallsanitater, 3 ans de formation), Quebec (diplome reconnu nationalement), Etats-Unis (paramedic certifie).</w:t>
      </w:r>
    </w:p>
    <w:p>
      <w:pPr>
        <w:spacing w:after="120"/>
        <w:ind w:left="360" w:hanging="180"/>
      </w:pPr>
      <w:r>
        <w:rPr>
          <w:b/>
          <w:color w:val="2c3e50"/>
        </w:rPr>
        <w:t>•  </w:t>
      </w:r>
      <w:r>
        <w:t>L'AFASH (Association Francaise des Ambulanciers SMUR et Hospitaliers) a produit un dossier de demande de specialisation (version 02/2026) documentant les 12 competences specifiques exercées sans cadre de formation, et proposant une specialisation post-DEA de 5 mois (600-700h) visant le niveau 4 RNCP.</w:t>
      </w:r>
    </w:p>
    <w:p>
      <w:pPr>
        <w:spacing w:after="120"/>
        <w:ind w:left="360" w:hanging="180"/>
      </w:pPr>
      <w:r>
        <w:rPr>
          <w:b/>
          <w:color w:val="2c3e50"/>
        </w:rPr>
        <w:t>•  </w:t>
      </w:r>
      <w:r>
        <w:t>La FAE SMUR (175h, non diplômante, hors RNCP) ne couvre que partiellement ce perimetre. Cette insuffisance structurelle renforce l'argument d'un ecart de formation a combler.</w:t>
      </w:r>
    </w:p>
    <w:p>
      <w:pPr>
        <w:pStyle w:val="Heading2"/>
      </w:pPr>
      <w:r>
        <w:t>Axe 4 - Le decrochage salarial : signal d'alerte RH</w:t>
      </w:r>
    </w:p>
    <w:p>
      <w:r>
        <w:t>Cet axe est renforce par des donnees chiffrees nationales :</w:t>
      </w:r>
    </w:p>
    <w:p>
      <w:pPr>
        <w:spacing w:after="120"/>
        <w:ind w:left="360" w:hanging="180"/>
      </w:pPr>
      <w:r>
        <w:rPr>
          <w:b/>
          <w:color w:val="2c3e50"/>
        </w:rPr>
        <w:t>• Grille indiciaire : </w:t>
      </w:r>
      <w:r>
        <w:t> la grille C2/C3 place certains echelons sous le SMIC, creant une difficulte de recrutement et de fidelisation objectivement mesurable.</w:t>
      </w:r>
    </w:p>
    <w:p>
      <w:pPr>
        <w:spacing w:after="120"/>
        <w:ind w:left="360" w:hanging="180"/>
      </w:pPr>
      <w:r>
        <w:rPr>
          <w:b/>
          <w:color w:val="2c3e50"/>
        </w:rPr>
        <w:t>• Turnover : </w:t>
      </w:r>
      <w:r>
        <w:t> 18% annuel, soit un cout estime a 15 000 a 40 000 euros par depart supplementaire pour un etablissement de 200 lits (etude Hoppi 2026).</w:t>
      </w:r>
    </w:p>
    <w:p>
      <w:pPr>
        <w:spacing w:after="120"/>
        <w:ind w:left="360" w:hanging="180"/>
      </w:pPr>
      <w:r>
        <w:rPr>
          <w:b/>
          <w:color w:val="2c3e50"/>
        </w:rPr>
        <w:t>• Postes non pourvus : </w:t>
      </w:r>
      <w:r>
        <w:t> la tension sur le recrutement s'aggrave (+14 points en un an pour les etablissements de transport sanitaire), menacant la perennite du service.</w:t>
      </w:r>
    </w:p>
    <w:p>
      <w:pPr>
        <w:spacing w:after="120"/>
        <w:ind w:left="360" w:hanging="180"/>
      </w:pPr>
      <w:r>
        <w:rPr>
          <w:b/>
          <w:color w:val="2c3e50"/>
        </w:rPr>
        <w:t>•  </w:t>
      </w:r>
      <w:r>
        <w:t>le mouvement de greve en cours au CHU de Toulouse (depuis le 7 juin 2026) est la demonstration concrete du risque social associe au non-reconnaissance.</w:t>
      </w:r>
    </w:p>
    <w:p>
      <w:pPr>
        <w:pBdr>
          <w:left w:val="single" w:color="c9a227" w:sz="24"/>
        </w:pBdr>
        <w:shd w:val="clear" w:fill="fef9e7"/>
        <w:spacing w:before="200" w:after="200"/>
        <w:ind w:left="200" w:right="200"/>
      </w:pPr>
      <w:r>
        <w:rPr>
          <w:b/>
          <w:color w:val="c9a227"/>
          <w:sz w:val="20"/>
        </w:rPr>
        <w:t>ARGUMENT-CLF RH </w:t>
      </w:r>
      <w:r>
        <w:rPr>
          <w:color w:val="2c3e50"/>
          <w:sz w:val="20"/>
        </w:rPr>
        <w:t>Le passage en categorie B ne doit pas etre presente comme une charge supplémentaire mais comme un investissement en stabilite RH. Le cout du passage en B est inferieur au cout cumule des greves, du recours a l'interim, des heures supplémentaires non anticipees et du turnover.</w:t>
      </w:r>
    </w:p>
    <w:p>
      <w:pPr>
        <w:pStyle w:val="Heading1"/>
      </w:pPr>
      <w:r>
        <w:t>IV. PROPOSITION OPERATIONNELLE : MODULE MHS</w:t>
      </w:r>
      <w:bookmarkStart w:name="_Toc004" w:id="4"/>
      <w:bookmarkEnd w:id="4"/>
    </w:p>
    <w:p>
      <w:r>
        <w:t>La proposition de creation d'un bloc de competences complementaire 'Module Missions Hospitalieres Specifiques' (MHS) est conservee et enrichie. Ce module reprend le format deja valide de la FAE SMUR (arrete du 17 mai 2023), ce qui le rend immediatement credible aupres de la Direction et de l'ARS.</w:t>
      </w:r>
    </w:p>
    <w:tbl>
      <w:tblPr>
        <w:tblW w:w="5000" w:type="pct"/>
        <w:tblBorders>
          <w:top w:val="single" w:color="1a2a3a" w:sz="12"/>
          <w:left w:val="nil"/>
          <w:bottom w:val="single" w:color="1a2a3a" w:sz="12"/>
          <w:right w:val="nil"/>
          <w:insideH w:val="single" w:color="d5d8dc" w:sz="4"/>
          <w:insideV w:val="nil"/>
        </w:tblBorders>
      </w:tblPr>
      <w:tblGrid>
        <w:gridCol w:w="1400"/>
        <w:gridCol w:w="3400"/>
        <w:gridCol w:w="3200"/>
      </w:tblGrid>
      <w:tr>
        <w:trPr>
          <w:tblHeader/>
        </w:trPr>
        <w:tc>
          <w:tcPr>
            <w:tcW w:w="1400" w:type="dxa"/>
            <w:tcBorders>
              <w:bottom w:val="single" w:color="1a2a3a" w:sz="8"/>
            </w:tcBorders>
            <w:shd w:val="clear" w:fill="eef0f2"/>
          </w:tcPr>
          <w:p>
            <w:pPr>
              <w:spacing w:before="60" w:after="60"/>
              <w:jc w:val="left"/>
            </w:pPr>
            <w:r>
              <w:rPr>
                <w:b/>
                <w:color w:val="2c3e50"/>
                <w:sz w:val="18"/>
              </w:rPr>
              <w:t>Module</w:t>
            </w:r>
          </w:p>
        </w:tc>
        <w:tc>
          <w:tcPr>
            <w:tcW w:w="3400" w:type="dxa"/>
            <w:tcBorders>
              <w:bottom w:val="single" w:color="1a2a3a" w:sz="8"/>
            </w:tcBorders>
            <w:shd w:val="clear" w:fill="eef0f2"/>
          </w:tcPr>
          <w:p>
            <w:pPr>
              <w:spacing w:before="60" w:after="60"/>
              <w:jc w:val="left"/>
            </w:pPr>
            <w:r>
              <w:rPr>
                <w:b/>
                <w:color w:val="2c3e50"/>
                <w:sz w:val="18"/>
              </w:rPr>
              <w:t>Contenu vise</w:t>
            </w:r>
          </w:p>
        </w:tc>
        <w:tc>
          <w:tcPr>
            <w:tcW w:w="3200" w:type="dxa"/>
            <w:tcBorders>
              <w:bottom w:val="single" w:color="1a2a3a" w:sz="8"/>
            </w:tcBorders>
            <w:shd w:val="clear" w:fill="eef0f2"/>
          </w:tcPr>
          <w:p>
            <w:pPr>
              <w:spacing w:before="60" w:after="60"/>
              <w:jc w:val="left"/>
            </w:pPr>
            <w:r>
              <w:rPr>
                <w:b/>
                <w:color w:val="2c3e50"/>
                <w:sz w:val="18"/>
              </w:rPr>
              <w:t>Justification</w:t>
            </w:r>
          </w:p>
        </w:tc>
      </w:tr>
      <w:tr>
        <w:tc>
          <w:tcPr>
            <w:tcW w:w="1400" w:type="dxa"/>
          </w:tcPr>
          <w:p>
            <w:pPr>
              <w:spacing w:before="40" w:after="40"/>
            </w:pPr>
            <w:r>
              <w:rPr>
                <w:color w:val="2c3e50"/>
                <w:sz w:val="18"/>
              </w:rPr>
              <w:t>M1 - Contrainte et agressivite</w:t>
            </w:r>
          </w:p>
        </w:tc>
        <w:tc>
          <w:tcPr>
            <w:tcW w:w="3400" w:type="dxa"/>
          </w:tcPr>
          <w:p>
            <w:pPr>
              <w:spacing w:before="40" w:after="40"/>
            </w:pPr>
            <w:r>
              <w:rPr>
                <w:color w:val="2c3e50"/>
                <w:sz w:val="18"/>
              </w:rPr>
              <w:t>Desescalade verbale renforcee sans contention, gestion du risque en espace confine, protocoles d'alerte</w:t>
            </w:r>
          </w:p>
        </w:tc>
        <w:tc>
          <w:tcPr>
            <w:tcW w:w="3200" w:type="dxa"/>
          </w:tcPr>
          <w:p>
            <w:pPr>
              <w:spacing w:before="40" w:after="40"/>
            </w:pPr>
            <w:r>
              <w:rPr>
                <w:color w:val="2c3e50"/>
                <w:sz w:val="18"/>
              </w:rPr>
              <w:t>3 751 transports psychiatriques sous contrainte en 2025 ; Plan zero contention 2030</w:t>
            </w:r>
          </w:p>
        </w:tc>
      </w:tr>
      <w:tr>
        <w:tc>
          <w:tcPr>
            <w:tcW w:w="1400" w:type="dxa"/>
          </w:tcPr>
          <w:p>
            <w:pPr>
              <w:spacing w:before="40" w:after="40"/>
            </w:pPr>
            <w:r>
              <w:rPr>
                <w:color w:val="2c3e50"/>
                <w:sz w:val="18"/>
              </w:rPr>
              <w:t>M2 - Transports securises</w:t>
            </w:r>
          </w:p>
        </w:tc>
        <w:tc>
          <w:tcPr>
            <w:tcW w:w="3400" w:type="dxa"/>
          </w:tcPr>
          <w:p>
            <w:pPr>
              <w:spacing w:before="40" w:after="40"/>
            </w:pPr>
            <w:r>
              <w:rPr>
                <w:color w:val="2c3e50"/>
                <w:sz w:val="18"/>
              </w:rPr>
              <w:t>Conduite sous escorte, protocoles IRIS, coordination penitentiaire</w:t>
            </w:r>
          </w:p>
        </w:tc>
        <w:tc>
          <w:tcPr>
            <w:tcW w:w="3200" w:type="dxa"/>
          </w:tcPr>
          <w:p>
            <w:pPr>
              <w:spacing w:before="40" w:after="40"/>
            </w:pPr>
            <w:r>
              <w:rPr>
                <w:color w:val="2c3e50"/>
                <w:sz w:val="18"/>
              </w:rPr>
              <w:t>Modele CHU de Lyon ; condition au maintien UHSI</w:t>
            </w:r>
          </w:p>
        </w:tc>
      </w:tr>
      <w:tr>
        <w:tc>
          <w:tcPr>
            <w:tcW w:w="1400" w:type="dxa"/>
          </w:tcPr>
          <w:p>
            <w:pPr>
              <w:spacing w:before="40" w:after="40"/>
            </w:pPr>
            <w:r>
              <w:rPr>
                <w:color w:val="2c3e50"/>
                <w:sz w:val="18"/>
              </w:rPr>
              <w:t>M3 - Patients fragiles (elargi)</w:t>
            </w:r>
          </w:p>
        </w:tc>
        <w:tc>
          <w:tcPr>
            <w:tcW w:w="3400" w:type="dxa"/>
          </w:tcPr>
          <w:p>
            <w:pPr>
              <w:spacing w:before="40" w:after="40"/>
            </w:pPr>
            <w:r>
              <w:rPr>
                <w:color w:val="2c3e50"/>
                <w:sz w:val="18"/>
              </w:rPr>
              <w:t>Soins palliatifs, medecine nucleaire, infectiologie, aplasie, bloc/reanimation, greffes</w:t>
            </w:r>
          </w:p>
        </w:tc>
        <w:tc>
          <w:tcPr>
            <w:tcW w:w="3200" w:type="dxa"/>
          </w:tcPr>
          <w:p>
            <w:pPr>
              <w:spacing w:before="40" w:after="40"/>
            </w:pPr>
            <w:r>
              <w:rPr>
                <w:color w:val="2c3e50"/>
                <w:sz w:val="18"/>
              </w:rPr>
              <w:t>Part significative des transports inter-services ; aucune formation dediee</w:t>
            </w:r>
          </w:p>
        </w:tc>
      </w:tr>
      <w:tr>
        <w:tc>
          <w:tcPr>
            <w:tcW w:w="1400" w:type="dxa"/>
          </w:tcPr>
          <w:p>
            <w:pPr>
              <w:spacing w:before="40" w:after="40"/>
            </w:pPr>
            <w:r>
              <w:rPr>
                <w:color w:val="2c3e50"/>
                <w:sz w:val="18"/>
              </w:rPr>
              <w:t>M4 - Transports mortuaires</w:t>
            </w:r>
          </w:p>
        </w:tc>
        <w:tc>
          <w:tcPr>
            <w:tcW w:w="3400" w:type="dxa"/>
          </w:tcPr>
          <w:p>
            <w:pPr>
              <w:spacing w:before="40" w:after="40"/>
            </w:pPr>
            <w:r>
              <w:rPr>
                <w:color w:val="2c3e50"/>
                <w:sz w:val="18"/>
              </w:rPr>
              <w:t>Cadre reglementaire, posture relationnelle, protocole de securite nocturne</w:t>
            </w:r>
          </w:p>
        </w:tc>
        <w:tc>
          <w:tcPr>
            <w:tcW w:w="3200" w:type="dxa"/>
          </w:tcPr>
          <w:p>
            <w:pPr>
              <w:spacing w:before="40" w:after="40"/>
            </w:pPr>
            <w:r>
              <w:rPr>
                <w:color w:val="2c3e50"/>
                <w:sz w:val="18"/>
              </w:rPr>
              <w:t>Risque identifie : aucun agent ne devrait intervenir seul</w:t>
            </w:r>
          </w:p>
        </w:tc>
      </w:tr>
      <w:tr>
        <w:tc>
          <w:tcPr>
            <w:tcW w:w="1400" w:type="dxa"/>
          </w:tcPr>
          <w:p>
            <w:pPr>
              <w:spacing w:before="40" w:after="40"/>
            </w:pPr>
            <w:r>
              <w:rPr>
                <w:color w:val="2c3e50"/>
                <w:sz w:val="18"/>
              </w:rPr>
              <w:t>M5 - Medecine de catastrophe</w:t>
            </w:r>
          </w:p>
        </w:tc>
        <w:tc>
          <w:tcPr>
            <w:tcW w:w="3400" w:type="dxa"/>
          </w:tcPr>
          <w:p>
            <w:pPr>
              <w:spacing w:before="40" w:after="40"/>
            </w:pPr>
            <w:r>
              <w:rPr>
                <w:color w:val="2c3e50"/>
                <w:sz w:val="18"/>
              </w:rPr>
              <w:t>Chaine medicale des secours, gestes d'urgence renforces, plans blancs</w:t>
            </w:r>
          </w:p>
        </w:tc>
        <w:tc>
          <w:tcPr>
            <w:tcW w:w="3200" w:type="dxa"/>
          </w:tcPr>
          <w:p>
            <w:pPr>
              <w:spacing w:before="40" w:after="40"/>
            </w:pPr>
            <w:r>
              <w:rPr>
                <w:color w:val="2c3e50"/>
                <w:sz w:val="18"/>
              </w:rPr>
              <w:t>Equite avec les ambulanciers SAMU</w:t>
            </w:r>
          </w:p>
        </w:tc>
      </w:tr>
      <w:tr>
        <w:tc>
          <w:tcPr>
            <w:tcW w:w="1400" w:type="dxa"/>
          </w:tcPr>
          <w:p>
            <w:pPr>
              <w:spacing w:before="40" w:after="40"/>
            </w:pPr>
            <w:r>
              <w:rPr>
                <w:color w:val="2c3e50"/>
                <w:sz w:val="18"/>
              </w:rPr>
              <w:t>M6 - Maintenance</w:t>
            </w:r>
          </w:p>
        </w:tc>
        <w:tc>
          <w:tcPr>
            <w:tcW w:w="3400" w:type="dxa"/>
          </w:tcPr>
          <w:p>
            <w:pPr>
              <w:spacing w:before="40" w:after="40"/>
            </w:pPr>
            <w:r>
              <w:rPr>
                <w:color w:val="2c3e50"/>
                <w:sz w:val="18"/>
              </w:rPr>
              <w:t>Controles et depannage de premier niveau avec outillage</w:t>
            </w:r>
          </w:p>
        </w:tc>
        <w:tc>
          <w:tcPr>
            <w:tcW w:w="3200" w:type="dxa"/>
          </w:tcPr>
          <w:p>
            <w:pPr>
              <w:spacing w:before="40" w:after="40"/>
            </w:pPr>
            <w:r>
              <w:rPr>
                <w:color w:val="2c3e50"/>
                <w:sz w:val="18"/>
              </w:rPr>
              <w:t>Condition syndicale avant inscription en fiche de poste</w:t>
            </w:r>
          </w:p>
        </w:tc>
      </w:tr>
      <w:tr>
        <w:tc>
          <w:tcPr>
            <w:tcW w:w="1400" w:type="dxa"/>
          </w:tcPr>
          <w:p>
            <w:pPr>
              <w:spacing w:before="40" w:after="40"/>
            </w:pPr>
            <w:r>
              <w:rPr>
                <w:color w:val="2c3e50"/>
                <w:sz w:val="18"/>
              </w:rPr>
              <w:t>M7 - SMUR (NOUVEAU)</w:t>
            </w:r>
          </w:p>
        </w:tc>
        <w:tc>
          <w:tcPr>
            <w:tcW w:w="3400" w:type="dxa"/>
          </w:tcPr>
          <w:p>
            <w:pPr>
              <w:spacing w:before="40" w:after="40"/>
            </w:pPr>
            <w:r>
              <w:rPr>
                <w:color w:val="2c3e50"/>
                <w:sz w:val="18"/>
              </w:rPr>
              <w:t>Assistance reanimation, damage control, gestion de scene, SSE, coordination interservices, heliporte</w:t>
            </w:r>
          </w:p>
        </w:tc>
        <w:tc>
          <w:tcPr>
            <w:tcW w:w="3200" w:type="dxa"/>
          </w:tcPr>
          <w:p>
            <w:pPr>
              <w:spacing w:before="40" w:after="40"/>
            </w:pPr>
            <w:r>
              <w:rPr>
                <w:color w:val="2c3e50"/>
                <w:sz w:val="18"/>
              </w:rPr>
              <w:t>Dossier AFASH 02/2026 ; 10 competences sans cadre RNCP</w:t>
            </w:r>
          </w:p>
        </w:tc>
      </w:tr>
    </w:tbl>
    <w:p>
      <w:pPr>
        <w:pStyle w:val="Heading2"/>
      </w:pPr>
      <w:r>
        <w:t>Focus sur les evolutions majeures</w:t>
      </w:r>
    </w:p>
    <w:p>
      <w:pPr>
        <w:pStyle w:val="Heading3"/>
      </w:pPr>
      <w:r>
        <w:t>Module M3 elargi (mise a jour 24 juin 2026)</w:t>
      </w:r>
    </w:p>
    <w:p>
      <w:r>
        <w:t>Le perimetre du module M3 a ete volontairement elargi pour couvrir l'ensemble des situations de fragilite clinique rencontrees par les ambulanciers hospitaliers : soins palliatifs, medecine nucleaire, medecine infectieuse, aplasie medullaire, sorties de bloc/reanimation, patients greffes. Cet elargissement renforce l'argumentaire sur deux plans :</w:t>
      </w:r>
    </w:p>
    <w:p>
      <w:pPr>
        <w:spacing w:after="120"/>
        <w:ind w:left="360" w:hanging="180"/>
      </w:pPr>
      <w:r>
        <w:rPr>
          <w:b/>
          <w:color w:val="2c3e50"/>
        </w:rPr>
        <w:t>•  </w:t>
      </w:r>
      <w:r>
        <w:t>Un double enjeu de securite documente avec precision : pour le patient (degradation clinique possible en cours de trajet) et pour l'agent (manipulation de dispositifs invasifs sans formation dediee).</w:t>
      </w:r>
    </w:p>
    <w:p>
      <w:pPr>
        <w:spacing w:after="120"/>
        <w:ind w:left="360" w:hanging="180"/>
      </w:pPr>
      <w:r>
        <w:rPr>
          <w:b/>
          <w:color w:val="2c3e50"/>
        </w:rPr>
        <w:t>•  </w:t>
      </w:r>
      <w:r>
        <w:t>Une assise volumetrique plus large : ces transports inter-services representent une part significative de l'activite quotidienne d'un CHU universitaire, ce qui consolide l'argument de structuralite (par opposition a 'ponctuel').</w:t>
      </w:r>
    </w:p>
    <w:p>
      <w:pPr>
        <w:pStyle w:val="Heading3"/>
      </w:pPr>
      <w:r>
        <w:t>Module M7 - Specificites ambulancier SMUR (nouveau, 27 juin 2026)</w:t>
      </w:r>
    </w:p>
    <w:p>
      <w:r>
        <w:t>Ce nouveau module couvre les competences specifiques exercées par l'ambulancier au sein du trinome SMUR (medecin - infirmier - ambulancier) :</w:t>
      </w:r>
    </w:p>
    <w:p>
      <w:pPr>
        <w:spacing w:after="120"/>
        <w:ind w:left="360" w:hanging="180"/>
      </w:pPr>
      <w:r>
        <w:rPr>
          <w:b/>
          <w:color w:val="2c3e50"/>
        </w:rPr>
        <w:t>•  </w:t>
      </w:r>
      <w:r>
        <w:t>Assistance aux gestes de reanimation (aide a l'intubation, ventilation manuelle BAVU) ;</w:t>
      </w:r>
    </w:p>
    <w:p>
      <w:pPr>
        <w:spacing w:after="120"/>
        <w:ind w:left="360" w:hanging="180"/>
      </w:pPr>
      <w:r>
        <w:rPr>
          <w:b/>
          <w:color w:val="2c3e50"/>
        </w:rPr>
        <w:t>•  </w:t>
      </w:r>
      <w:r>
        <w:t>Damage control prehospitalier (garrots, pansements compressifs, priorisation hemorragie-ventilation) ;</w:t>
      </w:r>
    </w:p>
    <w:p>
      <w:pPr>
        <w:spacing w:after="120"/>
        <w:ind w:left="360" w:hanging="180"/>
      </w:pPr>
      <w:r>
        <w:rPr>
          <w:b/>
          <w:color w:val="2c3e50"/>
        </w:rPr>
        <w:t>•  </w:t>
      </w:r>
      <w:r>
        <w:t>Gestion de scene complexe et mesures NRBC de base ;</w:t>
      </w:r>
    </w:p>
    <w:p>
      <w:pPr>
        <w:spacing w:after="120"/>
        <w:ind w:left="360" w:hanging="180"/>
      </w:pPr>
      <w:r>
        <w:rPr>
          <w:b/>
          <w:color w:val="2c3e50"/>
        </w:rPr>
        <w:t>•  </w:t>
      </w:r>
      <w:r>
        <w:t>Intervention en Situations Sanitaires Exceptionnelles (plans ORSEC, plan blanc, plan rouge) ;</w:t>
      </w:r>
    </w:p>
    <w:p>
      <w:pPr>
        <w:spacing w:after="120"/>
        <w:ind w:left="360" w:hanging="180"/>
      </w:pPr>
      <w:r>
        <w:rPr>
          <w:b/>
          <w:color w:val="2c3e50"/>
        </w:rPr>
        <w:t>•  </w:t>
      </w:r>
      <w:r>
        <w:t>Coordination interservices (SDIS, forces de l'ordre, ARS, SAMU) ;</w:t>
      </w:r>
    </w:p>
    <w:p>
      <w:pPr>
        <w:spacing w:after="120"/>
        <w:ind w:left="360" w:hanging="180"/>
      </w:pPr>
      <w:r>
        <w:rPr>
          <w:b/>
          <w:color w:val="2c3e50"/>
        </w:rPr>
        <w:t>•  </w:t>
      </w:r>
      <w:r>
        <w:t>Brancardage et evacuation en milieux hostiles et heliportes (HeliSMUR).</w:t>
      </w:r>
    </w:p>
    <w:p>
      <w:pPr>
        <w:pBdr>
          <w:left w:val="single" w:color="c9a227" w:sz="24"/>
        </w:pBdr>
        <w:shd w:val="clear" w:fill="fef9e7"/>
        <w:spacing w:before="200" w:after="200"/>
        <w:ind w:left="200" w:right="200"/>
      </w:pPr>
      <w:r>
        <w:rPr>
          <w:b/>
          <w:color w:val="c9a227"/>
          <w:sz w:val="20"/>
        </w:rPr>
        <w:t>ENJEU INTERNATIONAL </w:t>
      </w:r>
      <w:r>
        <w:rPr>
          <w:color w:val="2c3e50"/>
          <w:sz w:val="20"/>
        </w:rPr>
        <w:t>La France est le seul grand pays europeen a ne pas reconnaitre statutairement ses ambulanciers SMUR. Le dossier AFASH (02/2026) documente cet ecart face au Royaume-Uni (paramedic HCPC), l'Allemagne (Notfallsanitater, 3 ans) et le Quebec (diplome national). Cette anomalie fragilise l'attractivite internationale de nos CHU.</w:t>
      </w:r>
    </w:p>
    <w:p>
      <w:pPr>
        <w:pStyle w:val="Heading3"/>
      </w:pPr>
      <w:r>
        <w:t>Le Plan zero contention 2030 : anticipation reglementaire</w:t>
      </w:r>
    </w:p>
    <w:p>
      <w:r>
        <w:t>L'annonce du 2 juin 2026 par la ministre Stephanie Rist d'un objectif national de 'zero contention' en psychiatrie a l'horizon 2030 a une incidence directe sur le module M1. La reduction programmee du recours a la contention mecanique pendant l'hospitalisation se repercute mecaniquement sur le transport, ou elle reste parfois utilisee comme mesure de securite faute d'alternative.</w:t>
      </w:r>
    </w:p>
    <w:p>
      <w:r>
        <w:t>L'habitacle du vehicule constitue un espace confine, mobile et depourvu des moyens d'alerte disponibles a l'hopital. Sans formation dediee a la desescalade en espace confine, une partie du risque actuellement couvert par la contention se reporte sur le transport sans solution de substitution.</w:t>
      </w:r>
    </w:p>
    <w:p>
      <w:pPr>
        <w:pStyle w:val="Heading1"/>
      </w:pPr>
      <w:r>
        <w:t>V. PLAN D'ACTION ET SEQUENCEMENT</w:t>
      </w:r>
      <w:bookmarkStart w:name="_Toc005" w:id="5"/>
      <w:bookmarkEnd w:id="5"/>
    </w:p>
    <w:tbl>
      <w:tblPr>
        <w:tblW w:w="5000" w:type="pct"/>
        <w:tblBorders>
          <w:top w:val="single" w:color="1a2a3a" w:sz="12"/>
          <w:left w:val="nil"/>
          <w:bottom w:val="single" w:color="1a2a3a" w:sz="12"/>
          <w:right w:val="nil"/>
          <w:insideH w:val="single" w:color="d5d8dc" w:sz="4"/>
          <w:insideV w:val="nil"/>
        </w:tblBorders>
      </w:tblPr>
      <w:tblGrid>
        <w:gridCol w:w="1600"/>
        <w:gridCol w:w="4400"/>
        <w:gridCol w:w="2000"/>
      </w:tblGrid>
      <w:tr>
        <w:trPr>
          <w:tblHeader/>
        </w:trPr>
        <w:tc>
          <w:tcPr>
            <w:tcW w:w="1600" w:type="dxa"/>
            <w:tcBorders>
              <w:bottom w:val="single" w:color="1a2a3a" w:sz="8"/>
            </w:tcBorders>
            <w:shd w:val="clear" w:fill="eef0f2"/>
          </w:tcPr>
          <w:p>
            <w:pPr>
              <w:spacing w:before="60" w:after="60"/>
              <w:jc w:val="left"/>
            </w:pPr>
            <w:r>
              <w:rPr>
                <w:b/>
                <w:color w:val="2c3e50"/>
                <w:sz w:val="18"/>
              </w:rPr>
              <w:t>Echeance</w:t>
            </w:r>
          </w:p>
        </w:tc>
        <w:tc>
          <w:tcPr>
            <w:tcW w:w="4400" w:type="dxa"/>
            <w:tcBorders>
              <w:bottom w:val="single" w:color="1a2a3a" w:sz="8"/>
            </w:tcBorders>
            <w:shd w:val="clear" w:fill="eef0f2"/>
          </w:tcPr>
          <w:p>
            <w:pPr>
              <w:spacing w:before="60" w:after="60"/>
              <w:jc w:val="left"/>
            </w:pPr>
            <w:r>
              <w:rPr>
                <w:b/>
                <w:color w:val="2c3e50"/>
                <w:sz w:val="18"/>
              </w:rPr>
              <w:t>Action</w:t>
            </w:r>
          </w:p>
        </w:tc>
        <w:tc>
          <w:tcPr>
            <w:tcW w:w="2000" w:type="dxa"/>
            <w:tcBorders>
              <w:bottom w:val="single" w:color="1a2a3a" w:sz="8"/>
            </w:tcBorders>
            <w:shd w:val="clear" w:fill="eef0f2"/>
          </w:tcPr>
          <w:p>
            <w:pPr>
              <w:spacing w:before="60" w:after="60"/>
              <w:jc w:val="left"/>
            </w:pPr>
            <w:r>
              <w:rPr>
                <w:b/>
                <w:color w:val="2c3e50"/>
                <w:sz w:val="18"/>
              </w:rPr>
              <w:t>Objectif</w:t>
            </w:r>
          </w:p>
        </w:tc>
      </w:tr>
      <w:tr>
        <w:tc>
          <w:tcPr>
            <w:tcW w:w="1600" w:type="dxa"/>
          </w:tcPr>
          <w:p>
            <w:pPr>
              <w:spacing w:before="40" w:after="40"/>
            </w:pPr>
            <w:r>
              <w:rPr>
                <w:color w:val="2c3e50"/>
                <w:sz w:val="18"/>
              </w:rPr>
              <w:t>Court terme (fin conflit)</w:t>
            </w:r>
          </w:p>
        </w:tc>
        <w:tc>
          <w:tcPr>
            <w:tcW w:w="4400" w:type="dxa"/>
          </w:tcPr>
          <w:p>
            <w:pPr>
              <w:spacing w:before="40" w:after="40"/>
            </w:pPr>
            <w:r>
              <w:rPr>
                <w:color w:val="2c3e50"/>
                <w:sz w:val="18"/>
              </w:rPr>
              <w:t>Reconnaissance ecrite ecart missions/referentiel, engagement module MHS, NBI/IFR transitoire, cadre de sante referent</w:t>
            </w:r>
          </w:p>
        </w:tc>
        <w:tc>
          <w:tcPr>
            <w:tcW w:w="2000" w:type="dxa"/>
          </w:tcPr>
          <w:p>
            <w:pPr>
              <w:spacing w:before="40" w:after="40"/>
            </w:pPr>
            <w:r>
              <w:rPr>
                <w:color w:val="2c3e50"/>
                <w:sz w:val="18"/>
              </w:rPr>
              <w:t>Securiser des gains immediats</w:t>
            </w:r>
          </w:p>
        </w:tc>
      </w:tr>
      <w:tr>
        <w:tc>
          <w:tcPr>
            <w:tcW w:w="1600" w:type="dxa"/>
          </w:tcPr>
          <w:p>
            <w:pPr>
              <w:spacing w:before="40" w:after="40"/>
            </w:pPr>
            <w:r>
              <w:rPr>
                <w:color w:val="2c3e50"/>
                <w:sz w:val="18"/>
              </w:rPr>
              <w:t>3-6 mois</w:t>
            </w:r>
          </w:p>
        </w:tc>
        <w:tc>
          <w:tcPr>
            <w:tcW w:w="4400" w:type="dxa"/>
          </w:tcPr>
          <w:p>
            <w:pPr>
              <w:spacing w:before="40" w:after="40"/>
            </w:pPr>
            <w:r>
              <w:rPr>
                <w:color w:val="2c3e50"/>
                <w:sz w:val="18"/>
              </w:rPr>
              <w:t>Construire le contenu detaille du module MHS avec Direction des Soins et Formation ; documenter et chiffrer l'ecart (heures, agents, sinistralite)</w:t>
            </w:r>
          </w:p>
        </w:tc>
        <w:tc>
          <w:tcPr>
            <w:tcW w:w="2000" w:type="dxa"/>
          </w:tcPr>
          <w:p>
            <w:pPr>
              <w:spacing w:before="40" w:after="40"/>
            </w:pPr>
            <w:r>
              <w:rPr>
                <w:color w:val="2c3e50"/>
                <w:sz w:val="18"/>
              </w:rPr>
              <w:t>Dossier technique solide co-construit</w:t>
            </w:r>
          </w:p>
        </w:tc>
      </w:tr>
      <w:tr>
        <w:tc>
          <w:tcPr>
            <w:tcW w:w="1600" w:type="dxa"/>
          </w:tcPr>
          <w:p>
            <w:pPr>
              <w:spacing w:before="40" w:after="40"/>
            </w:pPr>
            <w:r>
              <w:rPr>
                <w:color w:val="2c3e50"/>
                <w:sz w:val="18"/>
              </w:rPr>
              <w:t>6-12 mois</w:t>
            </w:r>
          </w:p>
        </w:tc>
        <w:tc>
          <w:tcPr>
            <w:tcW w:w="4400" w:type="dxa"/>
          </w:tcPr>
          <w:p>
            <w:pPr>
              <w:spacing w:before="40" w:after="40"/>
            </w:pPr>
            <w:r>
              <w:rPr>
                <w:color w:val="2c3e50"/>
                <w:sz w:val="18"/>
              </w:rPr>
              <w:t>Porter le dossier via federations CGT/SUD au niveau national, avec CHU mobilises (Angers, Tours, Lyon, Marseille)</w:t>
            </w:r>
          </w:p>
        </w:tc>
        <w:tc>
          <w:tcPr>
            <w:tcW w:w="2000" w:type="dxa"/>
          </w:tcPr>
          <w:p>
            <w:pPr>
              <w:spacing w:before="40" w:after="40"/>
            </w:pPr>
            <w:r>
              <w:rPr>
                <w:color w:val="2c3e50"/>
                <w:sz w:val="18"/>
              </w:rPr>
              <w:t>Peser sur la DGOS pour revision statutaire</w:t>
            </w:r>
          </w:p>
        </w:tc>
      </w:tr>
      <w:tr>
        <w:tc>
          <w:tcPr>
            <w:tcW w:w="1600" w:type="dxa"/>
          </w:tcPr>
          <w:p>
            <w:pPr>
              <w:spacing w:before="40" w:after="40"/>
            </w:pPr>
            <w:r>
              <w:rPr>
                <w:color w:val="2c3e50"/>
                <w:sz w:val="18"/>
              </w:rPr>
              <w:t>Au-dela</w:t>
            </w:r>
          </w:p>
        </w:tc>
        <w:tc>
          <w:tcPr>
            <w:tcW w:w="4400" w:type="dxa"/>
          </w:tcPr>
          <w:p>
            <w:pPr>
              <w:spacing w:before="40" w:after="40"/>
            </w:pPr>
            <w:r>
              <w:rPr>
                <w:color w:val="2c3e50"/>
                <w:sz w:val="18"/>
              </w:rPr>
              <w:t>Mobiliser le rapport de force inter-CHU lors des negociations salariales FPH (clause de revoyure, conference sociale)</w:t>
            </w:r>
          </w:p>
        </w:tc>
        <w:tc>
          <w:tcPr>
            <w:tcW w:w="2000" w:type="dxa"/>
          </w:tcPr>
          <w:p>
            <w:pPr>
              <w:spacing w:before="40" w:after="40"/>
            </w:pPr>
            <w:r>
              <w:rPr>
                <w:color w:val="2c3e50"/>
                <w:sz w:val="18"/>
              </w:rPr>
              <w:t>Inscrire la revendication dans un calendrier national</w:t>
            </w:r>
          </w:p>
        </w:tc>
      </w:tr>
    </w:tbl>
    <w:p>
      <w:pPr>
        <w:pStyle w:val="Heading1"/>
      </w:pPr>
      <w:r>
        <w:t>VI. ARGUMENTAIRE CHIFFRE RENFORCE</w:t>
      </w:r>
      <w:bookmarkStart w:name="_Toc006" w:id="6"/>
      <w:bookmarkEnd w:id="6"/>
    </w:p>
    <w:p>
      <w:r>
        <w:t>Les donnees suivantes doivent etre produites ou completees avant chaque echeance de negociation :</w:t>
      </w:r>
    </w:p>
    <w:tbl>
      <w:tblPr>
        <w:tblW w:w="5000" w:type="pct"/>
        <w:tblBorders>
          <w:top w:val="single" w:color="1a2a3a" w:sz="12"/>
          <w:left w:val="nil"/>
          <w:bottom w:val="single" w:color="1a2a3a" w:sz="12"/>
          <w:right w:val="nil"/>
          <w:insideH w:val="single" w:color="d5d8dc" w:sz="4"/>
          <w:insideV w:val="nil"/>
        </w:tblBorders>
      </w:tblPr>
      <w:tblGrid>
        <w:gridCol w:w="4000"/>
        <w:gridCol w:w="2000"/>
        <w:gridCol w:w="2000"/>
      </w:tblGrid>
      <w:tr>
        <w:trPr>
          <w:tblHeader/>
        </w:trPr>
        <w:tc>
          <w:tcPr>
            <w:tcW w:w="4000" w:type="dxa"/>
            <w:tcBorders>
              <w:bottom w:val="single" w:color="1a2a3a" w:sz="8"/>
            </w:tcBorders>
            <w:shd w:val="clear" w:fill="eef0f2"/>
          </w:tcPr>
          <w:p>
            <w:pPr>
              <w:spacing w:before="60" w:after="60"/>
              <w:jc w:val="left"/>
            </w:pPr>
            <w:r>
              <w:rPr>
                <w:b/>
                <w:color w:val="2c3e50"/>
                <w:sz w:val="18"/>
              </w:rPr>
              <w:t>Indicateur</w:t>
            </w:r>
          </w:p>
        </w:tc>
        <w:tc>
          <w:tcPr>
            <w:tcW w:w="2000" w:type="dxa"/>
            <w:tcBorders>
              <w:bottom w:val="single" w:color="1a2a3a" w:sz="8"/>
            </w:tcBorders>
            <w:shd w:val="clear" w:fill="eef0f2"/>
          </w:tcPr>
          <w:p>
            <w:pPr>
              <w:spacing w:before="60" w:after="60"/>
              <w:jc w:val="left"/>
            </w:pPr>
            <w:r>
              <w:rPr>
                <w:b/>
                <w:color w:val="2c3e50"/>
                <w:sz w:val="18"/>
              </w:rPr>
              <w:t>Volume 2025</w:t>
            </w:r>
          </w:p>
        </w:tc>
        <w:tc>
          <w:tcPr>
            <w:tcW w:w="2000" w:type="dxa"/>
            <w:tcBorders>
              <w:bottom w:val="single" w:color="1a2a3a" w:sz="8"/>
            </w:tcBorders>
            <w:shd w:val="clear" w:fill="eef0f2"/>
          </w:tcPr>
          <w:p>
            <w:pPr>
              <w:spacing w:before="60" w:after="60"/>
              <w:jc w:val="left"/>
            </w:pPr>
            <w:r>
              <w:rPr>
                <w:b/>
                <w:color w:val="2c3e50"/>
                <w:sz w:val="18"/>
              </w:rPr>
              <w:t>Portee argumentaire</w:t>
            </w:r>
          </w:p>
        </w:tc>
      </w:tr>
      <w:tr>
        <w:tc>
          <w:tcPr>
            <w:tcW w:w="4000" w:type="dxa"/>
          </w:tcPr>
          <w:p>
            <w:pPr>
              <w:spacing w:before="40" w:after="40"/>
            </w:pPr>
            <w:r>
              <w:rPr>
                <w:color w:val="2c3e50"/>
                <w:sz w:val="18"/>
              </w:rPr>
              <w:t>Total transports patients</w:t>
            </w:r>
          </w:p>
        </w:tc>
        <w:tc>
          <w:tcPr>
            <w:tcW w:w="2000" w:type="dxa"/>
          </w:tcPr>
          <w:p>
            <w:pPr>
              <w:spacing w:before="40" w:after="40"/>
            </w:pPr>
            <w:r>
              <w:rPr>
                <w:color w:val="2c3e50"/>
                <w:sz w:val="18"/>
              </w:rPr>
              <w:t>56 843</w:t>
            </w:r>
          </w:p>
        </w:tc>
        <w:tc>
          <w:tcPr>
            <w:tcW w:w="2000" w:type="dxa"/>
          </w:tcPr>
          <w:p>
            <w:pPr>
              <w:spacing w:before="40" w:after="40"/>
            </w:pPr>
            <w:r>
              <w:rPr>
                <w:color w:val="2c3e50"/>
                <w:sz w:val="18"/>
              </w:rPr>
              <w:t>Caractere structurel de l'activite</w:t>
            </w:r>
          </w:p>
        </w:tc>
      </w:tr>
      <w:tr>
        <w:tc>
          <w:tcPr>
            <w:tcW w:w="4000" w:type="dxa"/>
          </w:tcPr>
          <w:p>
            <w:pPr>
              <w:spacing w:before="40" w:after="40"/>
            </w:pPr>
            <w:r>
              <w:rPr>
                <w:color w:val="2c3e50"/>
                <w:sz w:val="18"/>
              </w:rPr>
              <w:t>Transports psychiatriques sous contrainte</w:t>
            </w:r>
          </w:p>
        </w:tc>
        <w:tc>
          <w:tcPr>
            <w:tcW w:w="2000" w:type="dxa"/>
          </w:tcPr>
          <w:p>
            <w:pPr>
              <w:spacing w:before="40" w:after="40"/>
            </w:pPr>
            <w:r>
              <w:rPr>
                <w:color w:val="2c3e50"/>
                <w:sz w:val="18"/>
              </w:rPr>
              <w:t>3 751</w:t>
            </w:r>
          </w:p>
        </w:tc>
        <w:tc>
          <w:tcPr>
            <w:tcW w:w="2000" w:type="dxa"/>
          </w:tcPr>
          <w:p>
            <w:pPr>
              <w:spacing w:before="40" w:after="40"/>
            </w:pPr>
            <w:r>
              <w:rPr>
                <w:color w:val="2c3e50"/>
                <w:sz w:val="18"/>
              </w:rPr>
              <w:t>Refute le terme 'ponctuel'</w:t>
            </w:r>
          </w:p>
        </w:tc>
      </w:tr>
      <w:tr>
        <w:tc>
          <w:tcPr>
            <w:tcW w:w="4000" w:type="dxa"/>
          </w:tcPr>
          <w:p>
            <w:pPr>
              <w:spacing w:before="40" w:after="40"/>
            </w:pPr>
            <w:r>
              <w:rPr>
                <w:color w:val="2c3e50"/>
                <w:sz w:val="18"/>
              </w:rPr>
              <w:t>Transports urgences</w:t>
            </w:r>
          </w:p>
        </w:tc>
        <w:tc>
          <w:tcPr>
            <w:tcW w:w="2000" w:type="dxa"/>
          </w:tcPr>
          <w:p>
            <w:pPr>
              <w:spacing w:before="40" w:after="40"/>
            </w:pPr>
            <w:r>
              <w:rPr>
                <w:color w:val="2c3e50"/>
                <w:sz w:val="18"/>
              </w:rPr>
              <w:t>4 033</w:t>
            </w:r>
          </w:p>
        </w:tc>
        <w:tc>
          <w:tcPr>
            <w:tcW w:w="2000" w:type="dxa"/>
          </w:tcPr>
          <w:p>
            <w:pPr>
              <w:spacing w:before="40" w:after="40"/>
            </w:pPr>
            <w:r>
              <w:rPr>
                <w:color w:val="2c3e50"/>
                <w:sz w:val="18"/>
              </w:rPr>
              <w:t>Justifie formation gestes d'urgence renforces</w:t>
            </w:r>
          </w:p>
        </w:tc>
      </w:tr>
      <w:tr>
        <w:tc>
          <w:tcPr>
            <w:tcW w:w="4000" w:type="dxa"/>
          </w:tcPr>
          <w:p>
            <w:pPr>
              <w:spacing w:before="40" w:after="40"/>
            </w:pPr>
            <w:r>
              <w:rPr>
                <w:color w:val="2c3e50"/>
                <w:sz w:val="18"/>
              </w:rPr>
              <w:t>Transports UHSI</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Condition explicite des OS</w:t>
            </w:r>
          </w:p>
        </w:tc>
      </w:tr>
      <w:tr>
        <w:tc>
          <w:tcPr>
            <w:tcW w:w="4000" w:type="dxa"/>
          </w:tcPr>
          <w:p>
            <w:pPr>
              <w:spacing w:before="40" w:after="40"/>
            </w:pPr>
            <w:r>
              <w:rPr>
                <w:color w:val="2c3e50"/>
                <w:sz w:val="18"/>
              </w:rPr>
              <w:t>Transports mortuaires nocturnes</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Risque specificifique non forme</w:t>
            </w:r>
          </w:p>
        </w:tc>
      </w:tr>
      <w:tr>
        <w:tc>
          <w:tcPr>
            <w:tcW w:w="4000" w:type="dxa"/>
          </w:tcPr>
          <w:p>
            <w:pPr>
              <w:spacing w:before="40" w:after="40"/>
            </w:pPr>
            <w:r>
              <w:rPr>
                <w:color w:val="2c3e50"/>
                <w:sz w:val="18"/>
              </w:rPr>
              <w:t>Soins palliatifs / medecine nucleaire</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Module M3 - formation absente</w:t>
            </w:r>
          </w:p>
        </w:tc>
      </w:tr>
      <w:tr>
        <w:tc>
          <w:tcPr>
            <w:tcW w:w="4000" w:type="dxa"/>
          </w:tcPr>
          <w:p>
            <w:pPr>
              <w:spacing w:before="40" w:after="40"/>
            </w:pPr>
            <w:r>
              <w:rPr>
                <w:color w:val="2c3e50"/>
                <w:sz w:val="18"/>
              </w:rPr>
              <w:t>Medecine infectieuse / aplasie</w:t>
            </w:r>
          </w:p>
        </w:tc>
        <w:tc>
          <w:tcPr>
            <w:tcW w:w="2000" w:type="dxa"/>
          </w:tcPr>
          <w:p>
            <w:pPr>
              <w:spacing w:before="40" w:after="40"/>
            </w:pPr>
            <w:r>
              <w:rPr>
                <w:color w:val="2c3e50"/>
                <w:sz w:val="18"/>
              </w:rPr>
              <w:t>A completer (elargi 24/06)</w:t>
            </w:r>
          </w:p>
        </w:tc>
        <w:tc>
          <w:tcPr>
            <w:tcW w:w="2000" w:type="dxa"/>
          </w:tcPr>
          <w:p>
            <w:pPr>
              <w:spacing w:before="40" w:after="40"/>
            </w:pPr>
            <w:r>
              <w:rPr>
                <w:color w:val="2c3e50"/>
                <w:sz w:val="18"/>
              </w:rPr>
              <w:t>Nouveau perimetre M3</w:t>
            </w:r>
          </w:p>
        </w:tc>
      </w:tr>
      <w:tr>
        <w:tc>
          <w:tcPr>
            <w:tcW w:w="4000" w:type="dxa"/>
          </w:tcPr>
          <w:p>
            <w:pPr>
              <w:spacing w:before="40" w:after="40"/>
            </w:pPr>
            <w:r>
              <w:rPr>
                <w:color w:val="2c3e50"/>
                <w:sz w:val="18"/>
              </w:rPr>
              <w:t>Sorties bloc / reanimation / greffes</w:t>
            </w:r>
          </w:p>
        </w:tc>
        <w:tc>
          <w:tcPr>
            <w:tcW w:w="2000" w:type="dxa"/>
          </w:tcPr>
          <w:p>
            <w:pPr>
              <w:spacing w:before="40" w:after="40"/>
            </w:pPr>
            <w:r>
              <w:rPr>
                <w:color w:val="2c3e50"/>
                <w:sz w:val="18"/>
              </w:rPr>
              <w:t>A completer (elargi 24/06)</w:t>
            </w:r>
          </w:p>
        </w:tc>
        <w:tc>
          <w:tcPr>
            <w:tcW w:w="2000" w:type="dxa"/>
          </w:tcPr>
          <w:p>
            <w:pPr>
              <w:spacing w:before="40" w:after="40"/>
            </w:pPr>
            <w:r>
              <w:rPr>
                <w:color w:val="2c3e50"/>
                <w:sz w:val="18"/>
              </w:rPr>
              <w:t>Nouveau perimetre M3</w:t>
            </w:r>
          </w:p>
        </w:tc>
      </w:tr>
      <w:tr>
        <w:tc>
          <w:tcPr>
            <w:tcW w:w="4000" w:type="dxa"/>
          </w:tcPr>
          <w:p>
            <w:pPr>
              <w:spacing w:before="40" w:after="40"/>
            </w:pPr>
            <w:r>
              <w:rPr>
                <w:color w:val="2c3e50"/>
                <w:sz w:val="18"/>
              </w:rPr>
              <w:t>Transferts UMD/USIP (Marchant)</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Extension etablissements psychiatriques</w:t>
            </w:r>
          </w:p>
        </w:tc>
      </w:tr>
      <w:tr>
        <w:tc>
          <w:tcPr>
            <w:tcW w:w="4000" w:type="dxa"/>
          </w:tcPr>
          <w:p>
            <w:pPr>
              <w:spacing w:before="40" w:after="40"/>
            </w:pPr>
            <w:r>
              <w:rPr>
                <w:color w:val="2c3e50"/>
                <w:sz w:val="18"/>
              </w:rPr>
              <w:t>Reintegrations apres fugue</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Risque agressivite</w:t>
            </w:r>
          </w:p>
        </w:tc>
      </w:tr>
      <w:tr>
        <w:tc>
          <w:tcPr>
            <w:tcW w:w="4000" w:type="dxa"/>
          </w:tcPr>
          <w:p>
            <w:pPr>
              <w:spacing w:before="40" w:after="40"/>
            </w:pPr>
            <w:r>
              <w:rPr>
                <w:color w:val="2c3e50"/>
                <w:sz w:val="18"/>
              </w:rPr>
              <w:t>Transferts detenus UHSA</w:t>
            </w:r>
          </w:p>
        </w:tc>
        <w:tc>
          <w:tcPr>
            <w:tcW w:w="2000" w:type="dxa"/>
          </w:tcPr>
          <w:p>
            <w:pPr>
              <w:spacing w:before="40" w:after="40"/>
            </w:pPr>
            <w:r>
              <w:rPr>
                <w:color w:val="2c3e50"/>
                <w:sz w:val="18"/>
              </w:rPr>
              <w:t>A completer</w:t>
            </w:r>
          </w:p>
        </w:tc>
        <w:tc>
          <w:tcPr>
            <w:tcW w:w="2000" w:type="dxa"/>
          </w:tcPr>
          <w:p>
            <w:pPr>
              <w:spacing w:before="40" w:after="40"/>
            </w:pPr>
            <w:r>
              <w:rPr>
                <w:color w:val="2c3e50"/>
                <w:sz w:val="18"/>
              </w:rPr>
              <w:t>Module M2</w:t>
            </w:r>
          </w:p>
        </w:tc>
      </w:tr>
      <w:tr>
        <w:tc>
          <w:tcPr>
            <w:tcW w:w="4000" w:type="dxa"/>
          </w:tcPr>
          <w:p>
            <w:pPr>
              <w:spacing w:before="40" w:after="40"/>
            </w:pPr>
            <w:r>
              <w:rPr>
                <w:color w:val="2c3e50"/>
                <w:sz w:val="18"/>
              </w:rPr>
              <w:t>Sinistralite (incidents/agressions/accidents)</w:t>
            </w:r>
          </w:p>
        </w:tc>
        <w:tc>
          <w:tcPr>
            <w:tcW w:w="2000" w:type="dxa"/>
          </w:tcPr>
          <w:p>
            <w:pPr>
              <w:spacing w:before="40" w:after="40"/>
            </w:pPr>
            <w:r>
              <w:rPr>
                <w:color w:val="2c3e50"/>
                <w:sz w:val="18"/>
              </w:rPr>
              <w:t>A produire</w:t>
            </w:r>
          </w:p>
        </w:tc>
        <w:tc>
          <w:tcPr>
            <w:tcW w:w="2000" w:type="dxa"/>
          </w:tcPr>
          <w:p>
            <w:pPr>
              <w:spacing w:before="40" w:after="40"/>
            </w:pPr>
            <w:r>
              <w:rPr>
                <w:color w:val="2c3e50"/>
                <w:sz w:val="18"/>
              </w:rPr>
              <w:t>ARGUMENT MAJEUR DGOS</w:t>
            </w:r>
          </w:p>
        </w:tc>
      </w:tr>
    </w:tbl>
    <w:p>
      <w:r>
        <w:t>Ces indicateurs doivent etre completement documentes avant la phase '3-6 mois' du plan d'action (section V). Leur absence constitue la principale vulnerabilite du dossier a ce stade.</w:t>
      </w:r>
    </w:p>
    <w:p>
      <w:pPr>
        <w:pStyle w:val="Heading2"/>
      </w:pPr>
      <w:r>
        <w:t>Elements chiffres complementaires nationaux</w:t>
      </w:r>
    </w:p>
    <w:p>
      <w:pPr>
        <w:spacing w:after="120"/>
        <w:ind w:left="360" w:hanging="180"/>
      </w:pPr>
      <w:r>
        <w:rPr>
          <w:b/>
          <w:color w:val="2c3e50"/>
        </w:rPr>
        <w:t>•  </w:t>
      </w:r>
      <w:r>
        <w:t>40 millions de transports sanitaires par an en France (Ministere de la Sante, 2023) ;</w:t>
      </w:r>
    </w:p>
    <w:p>
      <w:pPr>
        <w:spacing w:after="120"/>
        <w:ind w:left="360" w:hanging="180"/>
      </w:pPr>
      <w:r>
        <w:rPr>
          <w:b/>
          <w:color w:val="2c3e50"/>
        </w:rPr>
        <w:t>•  </w:t>
      </w:r>
      <w:r>
        <w:t>57 000 ambulanciers diplomes d'Etat, dont 70% dans le secteur prive ;</w:t>
      </w:r>
    </w:p>
    <w:p>
      <w:pPr>
        <w:spacing w:after="120"/>
        <w:ind w:left="360" w:hanging="180"/>
      </w:pPr>
      <w:r>
        <w:rPr>
          <w:b/>
          <w:color w:val="2c3e50"/>
        </w:rPr>
        <w:t>•  </w:t>
      </w:r>
      <w:r>
        <w:t>2 500 ambulanciers en FPH (question senatrice Laurence Cohen, juin 2023) ;</w:t>
      </w:r>
    </w:p>
    <w:p>
      <w:pPr>
        <w:spacing w:after="120"/>
        <w:ind w:left="360" w:hanging="180"/>
      </w:pPr>
      <w:r>
        <w:rPr>
          <w:b/>
          <w:color w:val="2c3e50"/>
        </w:rPr>
        <w:t>•  </w:t>
      </w:r>
      <w:r>
        <w:t>18% de turnover annuel (FNTS 2022) vs 15% moyenne nationale ;</w:t>
      </w:r>
    </w:p>
    <w:p>
      <w:pPr>
        <w:spacing w:after="120"/>
        <w:ind w:left="360" w:hanging="180"/>
      </w:pPr>
      <w:r>
        <w:rPr>
          <w:b/>
          <w:color w:val="2c3e50"/>
        </w:rPr>
        <w:t>•  </w:t>
      </w:r>
      <w:r>
        <w:t>78% des entreprises en difficulte de recrutement (FNTS 2024) ;</w:t>
      </w:r>
    </w:p>
    <w:p>
      <w:pPr>
        <w:spacing w:after="120"/>
        <w:ind w:left="360" w:hanging="180"/>
      </w:pPr>
      <w:r>
        <w:rPr>
          <w:b/>
          <w:color w:val="2c3e50"/>
        </w:rPr>
        <w:t>•  </w:t>
      </w:r>
      <w:r>
        <w:t>47% d'epuisement professionnel declare (Observatoire QVT, 2022) ;</w:t>
      </w:r>
    </w:p>
    <w:p>
      <w:pPr>
        <w:spacing w:after="120"/>
        <w:ind w:left="360" w:hanging="180"/>
      </w:pPr>
      <w:r>
        <w:rPr>
          <w:b/>
          <w:color w:val="2c3e50"/>
        </w:rPr>
        <w:t>•  </w:t>
      </w:r>
      <w:r>
        <w:t>Taux d'accidentologie 2,5 fois superieur a la moyenne (Securite Routiere, 2023) ;</w:t>
      </w:r>
    </w:p>
    <w:p>
      <w:pPr>
        <w:spacing w:after="120"/>
        <w:ind w:left="360" w:hanging="180"/>
      </w:pPr>
      <w:r>
        <w:rPr>
          <w:b/>
          <w:color w:val="2c3e50"/>
        </w:rPr>
        <w:t>•  </w:t>
      </w:r>
      <w:r>
        <w:t>Entre 57% et 93% des ambulanciers victimes de violence au cours de leur carriere (rapport securite PS, 2025).</w:t>
      </w:r>
    </w:p>
    <w:p>
      <w:pPr>
        <w:pStyle w:val="Heading1"/>
      </w:pPr>
      <w:r>
        <w:t>VII. ANTICIPER LES OBJECTIONS</w:t>
      </w:r>
      <w:bookmarkStart w:name="_Toc007" w:id="7"/>
      <w:bookmarkEnd w:id="7"/>
    </w:p>
    <w:tbl>
      <w:tblPr>
        <w:tblW w:w="5000" w:type="pct"/>
        <w:tblBorders>
          <w:top w:val="single" w:color="1a2a3a" w:sz="12"/>
          <w:left w:val="nil"/>
          <w:bottom w:val="single" w:color="1a2a3a" w:sz="12"/>
          <w:right w:val="nil"/>
          <w:insideH w:val="single" w:color="d5d8dc" w:sz="4"/>
          <w:insideV w:val="nil"/>
        </w:tblBorders>
      </w:tblPr>
      <w:tblGrid>
        <w:gridCol w:w="3800"/>
        <w:gridCol w:w="4200"/>
      </w:tblGrid>
      <w:tr>
        <w:trPr>
          <w:tblHeader/>
        </w:trPr>
        <w:tc>
          <w:tcPr>
            <w:tcW w:w="3800" w:type="dxa"/>
            <w:tcBorders>
              <w:bottom w:val="single" w:color="1a2a3a" w:sz="8"/>
            </w:tcBorders>
            <w:shd w:val="clear" w:fill="eef0f2"/>
          </w:tcPr>
          <w:p>
            <w:pPr>
              <w:spacing w:before="60" w:after="60"/>
              <w:jc w:val="left"/>
            </w:pPr>
            <w:r>
              <w:rPr>
                <w:b/>
                <w:color w:val="2c3e50"/>
                <w:sz w:val="18"/>
              </w:rPr>
              <w:t>Objection probable</w:t>
            </w:r>
          </w:p>
        </w:tc>
        <w:tc>
          <w:tcPr>
            <w:tcW w:w="4200" w:type="dxa"/>
            <w:tcBorders>
              <w:bottom w:val="single" w:color="1a2a3a" w:sz="8"/>
            </w:tcBorders>
            <w:shd w:val="clear" w:fill="eef0f2"/>
          </w:tcPr>
          <w:p>
            <w:pPr>
              <w:spacing w:before="60" w:after="60"/>
              <w:jc w:val="left"/>
            </w:pPr>
            <w:r>
              <w:rPr>
                <w:b/>
                <w:color w:val="2c3e50"/>
                <w:sz w:val="18"/>
              </w:rPr>
              <w:t>Reponse a apporter</w:t>
            </w:r>
          </w:p>
        </w:tc>
      </w:tr>
      <w:tr>
        <w:tc>
          <w:tcPr>
            <w:tcW w:w="3800" w:type="dxa"/>
          </w:tcPr>
          <w:p>
            <w:pPr>
              <w:spacing w:before="40" w:after="40"/>
            </w:pPr>
            <w:r>
              <w:rPr>
                <w:color w:val="2c3e50"/>
                <w:sz w:val="18"/>
              </w:rPr>
              <w:t>'Le statut a deja ete revise en 2022 (decret 2022-1658)'</w:t>
            </w:r>
          </w:p>
        </w:tc>
        <w:tc>
          <w:tcPr>
            <w:tcW w:w="4200" w:type="dxa"/>
          </w:tcPr>
          <w:p>
            <w:pPr>
              <w:spacing w:before="40" w:after="40"/>
            </w:pPr>
            <w:r>
              <w:rPr>
                <w:color w:val="2c3e50"/>
                <w:sz w:val="18"/>
              </w:rPr>
              <w:t>Ce decret a change le rattachement de filiere (technique -&gt; soignante) mais PAS la categorie (toujours C). C'est precisement l'incoherence denoncee.</w:t>
            </w:r>
          </w:p>
        </w:tc>
      </w:tr>
      <w:tr>
        <w:tc>
          <w:tcPr>
            <w:tcW w:w="3800" w:type="dxa"/>
          </w:tcPr>
          <w:p>
            <w:pPr>
              <w:spacing w:before="40" w:after="40"/>
            </w:pPr>
            <w:r>
              <w:rPr>
                <w:color w:val="2c3e50"/>
                <w:sz w:val="18"/>
              </w:rPr>
              <w:t>'Le passage en B releve du niveau national (DGOS)'</w:t>
            </w:r>
          </w:p>
        </w:tc>
        <w:tc>
          <w:tcPr>
            <w:tcW w:w="4200" w:type="dxa"/>
          </w:tcPr>
          <w:p>
            <w:pPr>
              <w:spacing w:before="40" w:after="40"/>
            </w:pPr>
            <w:r>
              <w:rPr>
                <w:color w:val="2c3e50"/>
                <w:sz w:val="18"/>
              </w:rPr>
              <w:t>La strategie distingue les leviers locaux immediats (protocole, NBI/IFR, module MHS) des leviers nationaux a porter via les federations. Le CHU peut s'engager a soutenir la demande DGOS.</w:t>
            </w:r>
          </w:p>
        </w:tc>
      </w:tr>
      <w:tr>
        <w:tc>
          <w:tcPr>
            <w:tcW w:w="3800" w:type="dxa"/>
          </w:tcPr>
          <w:p>
            <w:pPr>
              <w:spacing w:before="40" w:after="40"/>
            </w:pPr>
            <w:r>
              <w:rPr>
                <w:color w:val="2c3e50"/>
                <w:sz w:val="18"/>
              </w:rPr>
              <w:t>'Creer un module de formation a un cout'</w:t>
            </w:r>
          </w:p>
        </w:tc>
        <w:tc>
          <w:tcPr>
            <w:tcW w:w="4200" w:type="dxa"/>
          </w:tcPr>
          <w:p>
            <w:pPr>
              <w:spacing w:before="40" w:after="40"/>
            </w:pPr>
            <w:r>
              <w:rPr>
                <w:color w:val="2c3e50"/>
                <w:sz w:val="18"/>
              </w:rPr>
              <w:t>Le format propose reprend celui de la FAE SMUR (arrete du 17 mai 2023) : pas de creation ex nihilo, mais une declinaison d'un dispositif existant reconnu par les CESU.</w:t>
            </w:r>
          </w:p>
        </w:tc>
      </w:tr>
      <w:tr>
        <w:tc>
          <w:tcPr>
            <w:tcW w:w="3800" w:type="dxa"/>
          </w:tcPr>
          <w:p>
            <w:pPr>
              <w:spacing w:before="40" w:after="40"/>
            </w:pPr>
            <w:r>
              <w:rPr>
                <w:color w:val="2c3e50"/>
                <w:sz w:val="18"/>
              </w:rPr>
              <w:t>'Les autres CHU n'ont pas ce statut non plus'</w:t>
            </w:r>
          </w:p>
        </w:tc>
        <w:tc>
          <w:tcPr>
            <w:tcW w:w="4200" w:type="dxa"/>
          </w:tcPr>
          <w:p>
            <w:pPr>
              <w:spacing w:before="40" w:after="40"/>
            </w:pPr>
            <w:r>
              <w:rPr>
                <w:color w:val="2c3e50"/>
                <w:sz w:val="18"/>
              </w:rPr>
              <w:t>C'est un argument POUR une mobilisation inter-etablissements (Angers, Tours, Lyon, Marseille deja mobilises) plutot que CONTRE la legitimite de la demande.</w:t>
            </w:r>
          </w:p>
        </w:tc>
      </w:tr>
      <w:tr>
        <w:tc>
          <w:tcPr>
            <w:tcW w:w="3800" w:type="dxa"/>
          </w:tcPr>
          <w:p>
            <w:pPr>
              <w:spacing w:before="40" w:after="40"/>
            </w:pPr>
            <w:r>
              <w:rPr>
                <w:color w:val="2c3e50"/>
                <w:sz w:val="18"/>
              </w:rPr>
              <w:t>'Le module M3 est trop large'</w:t>
            </w:r>
          </w:p>
        </w:tc>
        <w:tc>
          <w:tcPr>
            <w:tcW w:w="4200" w:type="dxa"/>
          </w:tcPr>
          <w:p>
            <w:pPr>
              <w:spacing w:before="40" w:after="40"/>
            </w:pPr>
            <w:r>
              <w:rPr>
                <w:color w:val="2c3e50"/>
                <w:sz w:val="18"/>
              </w:rPr>
              <w:t>Le point commun n'est pas la specialite medicale mais le niveau de risque clinique et le besoin de competences absent du DEA. La largeur reflete l'ampleur reelle des transports en CHU universitaire.</w:t>
            </w:r>
          </w:p>
        </w:tc>
      </w:tr>
      <w:tr>
        <w:tc>
          <w:tcPr>
            <w:tcW w:w="3800" w:type="dxa"/>
          </w:tcPr>
          <w:p>
            <w:pPr>
              <w:spacing w:before="40" w:after="40"/>
            </w:pPr>
            <w:r>
              <w:rPr>
                <w:color w:val="2c3e50"/>
                <w:sz w:val="18"/>
              </w:rPr>
              <w:t>'Le Plan zero contention 2030 va reduire les risques'</w:t>
            </w:r>
          </w:p>
        </w:tc>
        <w:tc>
          <w:tcPr>
            <w:tcW w:w="4200" w:type="dxa"/>
          </w:tcPr>
          <w:p>
            <w:pPr>
              <w:spacing w:before="40" w:after="40"/>
            </w:pPr>
            <w:r>
              <w:rPr>
                <w:color w:val="2c3e50"/>
                <w:sz w:val="18"/>
              </w:rPr>
              <w:t>Le plan reduit le risque pendant l'hospitalisation mais ne traite PAS la phase de transport. Sans formation a la desescalade en espace confine, le risque se reporte sur le transport sans solution de substitution.</w:t>
            </w:r>
          </w:p>
        </w:tc>
      </w:tr>
      <w:tr>
        <w:tc>
          <w:tcPr>
            <w:tcW w:w="3800" w:type="dxa"/>
          </w:tcPr>
          <w:p>
            <w:pPr>
              <w:spacing w:before="40" w:after="40"/>
            </w:pPr>
            <w:r>
              <w:rPr>
                <w:color w:val="2c3e50"/>
                <w:sz w:val="18"/>
              </w:rPr>
              <w:t>'C'est une charge budgetaire supplementaire'</w:t>
            </w:r>
          </w:p>
        </w:tc>
        <w:tc>
          <w:tcPr>
            <w:tcW w:w="4200" w:type="dxa"/>
          </w:tcPr>
          <w:p>
            <w:pPr>
              <w:spacing w:before="40" w:after="40"/>
            </w:pPr>
            <w:r>
              <w:rPr>
                <w:color w:val="2c3e50"/>
                <w:sz w:val="18"/>
              </w:rPr>
              <w:t>C'est un investissement en stabilite RH. Le cout du passage en B est inferieur au cout cumule de l'interim (+30-50%), du turnover (15-40ke par depart), et des greves.</w:t>
            </w:r>
          </w:p>
        </w:tc>
      </w:tr>
    </w:tbl>
    <w:p>
      <w:pPr>
        <w:pStyle w:val="Heading1"/>
      </w:pPr>
      <w:r>
        <w:t>VIII. SYNTHESE EXECUTIVE</w:t>
      </w:r>
      <w:bookmarkStart w:name="_Toc008" w:id="8"/>
      <w:bookmarkEnd w:id="8"/>
    </w:p>
    <w:p>
      <w:r>
        <w:t>Le passage en categorie B ne doit pas etre presente comme une revendication salariale isolee, mais comme la consequence logique et deja actee par les pouvoirs publics pour un corps comparable (les AS), rendue d'autant plus necessaire que :</w:t>
      </w:r>
    </w:p>
    <w:p>
      <w:pPr>
        <w:numPr>
          <w:ilvl w:val="0"/>
          <w:numId w:val="1"/>
        </w:numPr>
        <w:spacing w:after="120"/>
      </w:pPr>
      <w:r>
        <w:rPr>
          <w:b/>
          <w:color w:val="2c3e50"/>
        </w:rPr>
        <w:t>Les missions reellement exercees : </w:t>
      </w:r>
      <w:r>
        <w:t> par les ambulanciers du CHU de Toulouse - documentees de facon elargie via le module M3 (patients a risque infectieux eleve, sorties de bloc et de reanimation, patients greffes) et le module M7 (specificites ambulanciers SMUR) - depassent largement le perimetre couvert par leur diplome d'Etat.</w:t>
      </w:r>
    </w:p>
    <w:p>
      <w:pPr>
        <w:numPr>
          <w:ilvl w:val="0"/>
          <w:numId w:val="1"/>
        </w:numPr>
        <w:spacing w:after="120"/>
      </w:pPr>
      <w:r>
        <w:rPr>
          <w:b/>
          <w:color w:val="2c3e50"/>
        </w:rPr>
        <w:t>Le dossier AFASH (02/2026) : </w:t>
      </w:r>
      <w:r>
        <w:t> documente dix competences exercees en pratique par l'ambulancier SMUR sans aucune reconnaissance ni cadre de formation national, a rebours des modeles britannique, allemand, quebecois et americain.</w:t>
      </w:r>
    </w:p>
    <w:p>
      <w:pPr>
        <w:numPr>
          <w:ilvl w:val="0"/>
          <w:numId w:val="1"/>
        </w:numPr>
        <w:spacing w:after="120"/>
      </w:pPr>
      <w:r>
        <w:rPr>
          <w:b/>
          <w:color w:val="2c3e50"/>
        </w:rPr>
        <w:t>L'ecart de formation : </w:t>
      </w:r>
      <w:r>
        <w:t> que le module de formation complementaire propose (M1 a M7) a precisement pour fonction de documenter, de corriger et de porter au niveau ministeriel.</w:t>
      </w:r>
    </w:p>
    <w:p>
      <w:pPr>
        <w:numPr>
          <w:ilvl w:val="0"/>
          <w:numId w:val="1"/>
        </w:numPr>
        <w:spacing w:after="120"/>
      </w:pPr>
      <w:r>
        <w:rPr>
          <w:b/>
          <w:color w:val="2c3e50"/>
        </w:rPr>
        <w:t>Les donnees nationales : </w:t>
      </w:r>
      <w:r>
        <w:t> confirment une crise d'attractivite (turnover 18%, 78% de difficultes de recrutement, 47% d'epuisement professionnel) que le statuquo aggrave.</w:t>
      </w:r>
    </w:p>
    <w:p>
      <w:pPr>
        <w:numPr>
          <w:ilvl w:val="0"/>
          <w:numId w:val="1"/>
        </w:numPr>
        <w:spacing w:after="120"/>
      </w:pPr>
      <w:r>
        <w:rPr>
          <w:b/>
          <w:color w:val="2c3e50"/>
        </w:rPr>
        <w:t>Le cout du non-changement : </w:t>
      </w:r>
      <w:r>
        <w:t> (interim, greves, turnover, privatisation) excede le cout du passage en categorie B.</w:t>
      </w:r>
    </w:p>
    <w:p>
      <w:r>
        <w:t/>
      </w:r>
    </w:p>
    <w:p>
      <w:r>
        <w:t>Ce document, enrichi des elements nationaux, inter-CHU et internationaux, constitue un dossier technique complet a porter devant la DGOS via les federations CGT/SUD Sante Sociaux, dans le cadre de la strategie de mobilisation inter-etablissements deja engagee avec Angers, Tours, Lyon et les autres CHU mobilises.</w:t>
      </w:r>
    </w:p>
    <w:p>
      <w:pPr>
        <w:sectPr>
          <w:headerReference w:type="default" r:id="Rc491f093c5964dfd"/>
          <w:footerReference w:type="default" r:id="R7c1ae8d7ac04430d"/>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525a218e1a342a7"/>
                    <a:stretch>
                      <a:fillRect/>
                    </a:stretch>
                  </pic:blipFill>
                  <pic:spPr>
                    <a:xfrm>
                      <a:off x="0" y="0"/>
                      <a:ext cx="7560000" cy="10692000"/>
                    </a:xfrm>
                    <a:prstGeom prst="rect"/>
                  </pic:spPr>
                </pic:pic>
              </a:graphicData>
            </a:graphic>
          </wp:anchor>
        </w:drawing>
      </w:r>
    </w:p>
    <w:p>
      <w:pPr>
        <w:spacing w:before="6000"/>
        <w:jc w:val="center"/>
      </w:pPr>
      <w:r>
        <w:rPr>
          <w:b/>
          <w:color w:val="FFFFFF"/>
          <w:sz w:val="48"/>
        </w:rPr>
        <w:t>CGT - SUD</w:t>
      </w:r>
    </w:p>
    <w:p>
      <w:pPr>
        <w:spacing w:before="200"/>
        <w:jc w:val="center"/>
      </w:pPr>
      <w:r>
        <w:rPr>
          <w:color w:val="c9a227"/>
          <w:sz w:val="28"/>
        </w:rPr>
        <w:t>CHU de Toulouse</w:t>
      </w:r>
    </w:p>
    <w:p>
      <w:pPr>
        <w:spacing w:before="600"/>
        <w:jc w:val="center"/>
      </w:pPr>
      <w:r>
        <w:rPr>
          <w:color w:val="FFFFFF"/>
          <w:sz w:val="22"/>
        </w:rPr>
        <w:t>Pour le passage des ambulanciers hospitaliers</w:t>
      </w:r>
    </w:p>
    <w:p>
      <w:pPr>
        <w:spacing w:before="60"/>
        <w:jc w:val="center"/>
      </w:pPr>
      <w:r>
        <w:rPr>
          <w:color w:val="FFFFFF"/>
          <w:sz w:val="22"/>
        </w:rPr>
        <w:t>en categorie B de la Fonction Publique Hospitaliere</w:t>
      </w:r>
    </w:p>
    <w:p>
      <w:pPr>
        <w:spacing w:before="2000"/>
        <w:jc w:val="center"/>
      </w:pPr>
      <w:r>
        <w:rPr>
          <w:color w:val="8e9eab"/>
          <w:sz w:val="18"/>
        </w:rPr>
        <w:t>Document strategique | Juin 2026 | Version 4</w:t>
      </w:r>
    </w:p>
    <w:p>
      <w:pPr>
        <w:spacing w:before="100"/>
        <w:jc w:val="center"/>
      </w:pPr>
      <w:r>
        <w:rPr>
          <w:color w:val="8e9eab"/>
          <w:sz w:val="16"/>
        </w:rPr>
        <w:t>Contre-proposition CGT/SUD | Note d'appui ministerielle</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e9eab"/>
        <w:sz w:val="16"/>
      </w:rPr>
      <w:t xml:space="preserve">Page </w:t>
    </w:r>
    <w:r>
      <w:rPr>
        <w:color w:val="8e9eab"/>
        <w:sz w:val="16"/>
      </w:rPr>
      <w:fldChar w:fldCharType="begin"/>
    </w:r>
    <w:r>
      <w:rPr>
        <w:color w:val="8e9eab"/>
        <w:sz w:val="16"/>
      </w:rPr>
      <w:instrText xml:space="preserve"> PAGE </w:instrText>
    </w:r>
    <w:r>
      <w:rPr>
        <w:color w:val="8e9eab"/>
        <w:sz w:val="16"/>
      </w:rPr>
      <w:fldChar w:fldCharType="separate"/>
    </w:r>
    <w:r>
      <w:rPr>
        <w:color w:val="8e9eab"/>
        <w:sz w:val="16"/>
      </w:rPr>
      <w:t>1</w:t>
    </w:r>
    <w:r>
      <w:rPr>
        <w:color w:val="8e9eab"/>
        <w:sz w:val="16"/>
      </w:rPr>
      <w:fldChar w:fldCharType="end"/>
    </w:r>
    <w:r>
      <w:rPr>
        <w:color w:val="8e9eab"/>
        <w:sz w:val="16"/>
      </w:rPr>
      <w:t xml:space="preserve"> / </w:t>
    </w:r>
    <w:r>
      <w:rPr>
        <w:color w:val="8e9eab"/>
        <w:sz w:val="16"/>
      </w:rPr>
      <w:fldChar w:fldCharType="begin"/>
    </w:r>
    <w:r>
      <w:rPr>
        <w:color w:val="8e9eab"/>
        <w:sz w:val="16"/>
      </w:rPr>
      <w:instrText xml:space="preserve"> NUMPAGES </w:instrText>
    </w:r>
    <w:r>
      <w:rPr>
        <w:color w:val="8e9eab"/>
        <w:sz w:val="16"/>
      </w:rPr>
      <w:fldChar w:fldCharType="separate"/>
    </w:r>
    <w:r>
      <w:rPr>
        <w:color w:val="8e9eab"/>
        <w:sz w:val="16"/>
      </w:rPr>
      <w:t>1</w:t>
    </w:r>
    <w:r>
      <w:rPr>
        <w:color w:val="8e9eab"/>
        <w:sz w:val="16"/>
      </w:rPr>
      <w:fldChar w:fldCharType="end"/>
    </w:r>
    <w:r>
      <w:rPr>
        <w:color w:val="8e9eab"/>
        <w:sz w:val="16"/>
      </w:rPr>
      <w:t xml:space="preserve"> - Document strategique CGT/SUD CHU Toulouse</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97da1edd72994606"/>
                  <a:stretch>
                    <a:fillRect/>
                  </a:stretch>
                </pic:blipFill>
                <pic:spPr>
                  <a:xfrm>
                    <a:off x="0" y="0"/>
                    <a:ext cx="7560000" cy="10692000"/>
                  </a:xfrm>
                  <a:prstGeom prst="rect"/>
                </pic:spPr>
              </pic:pic>
            </a:graphicData>
          </a:graphic>
        </wp:anchor>
      </w:drawing>
    </w:r>
  </w:p>
  <w:p>
    <w:pPr>
      <w:jc w:val="right"/>
    </w:pPr>
    <w:r>
      <w:rPr>
        <w:i/>
        <w:color w:val="8e9eab"/>
        <w:sz w:val="16"/>
      </w:rPr>
      <w:t>Strategie Categorie B - Ambulanciers Hospitaliers | CHU Toulouse | Juin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libri" w:hAnsi="Calibri" w:eastAsia="Microsoft YaHei"/>
      <w:color w:val="2c3e50"/>
      <w:sz w:val="22"/>
    </w:rPr>
  </w:style>
  <w:style w:type="paragraph" w:styleId="Heading1">
    <w:name w:val="heading 1"/>
    <w:basedOn w:val="Normal"/>
    <w:pPr>
      <w:keepNext/>
      <w:keepLines/>
      <w:spacing w:before="480" w:after="200"/>
      <w:outlineLvl w:val="0"/>
    </w:pPr>
    <w:rPr>
      <w:rFonts w:ascii="Calibri" w:hAnsi="Calibri" w:eastAsia="Microsoft YaHei"/>
      <w:b/>
      <w:color w:val="1a2a3a"/>
      <w:sz w:val="40"/>
    </w:rPr>
  </w:style>
  <w:style w:type="paragraph" w:styleId="Heading2">
    <w:name w:val="heading 2"/>
    <w:basedOn w:val="Normal"/>
    <w:pPr>
      <w:keepNext/>
      <w:keepLines/>
      <w:spacing w:before="360" w:after="120"/>
      <w:outlineLvl w:val="1"/>
    </w:pPr>
    <w:rPr>
      <w:rFonts w:ascii="Calibri" w:hAnsi="Calibri" w:eastAsia="Microsoft YaHei"/>
      <w:b/>
      <w:color w:val="1a2a3a"/>
      <w:sz w:val="30"/>
    </w:rPr>
  </w:style>
  <w:style w:type="paragraph" w:styleId="Heading3">
    <w:name w:val="heading 3"/>
    <w:basedOn w:val="Normal"/>
    <w:pPr>
      <w:keepNext/>
      <w:keepLines/>
      <w:spacing w:before="280" w:after="80"/>
      <w:outlineLvl w:val="2"/>
    </w:pPr>
    <w:rPr>
      <w:rFonts w:ascii="Calibri" w:hAnsi="Calibri" w:eastAsia="Microsoft YaHei"/>
      <w:b/>
      <w:color w:val="2c3e50"/>
      <w:sz w:val="26"/>
    </w:rPr>
  </w:style>
  <w:style w:type="paragraph" w:styleId="Caption">
    <w:name w:val="Caption"/>
    <w:basedOn w:val="Normal"/>
    <w:pPr>
      <w:spacing w:before="60" w:after="240"/>
      <w:jc w:val="center"/>
    </w:pPr>
    <w:rPr>
      <w:i/>
      <w:color w:val="8e9eab"/>
      <w:sz w:val="18"/>
    </w:rPr>
  </w:style>
  <w:style w:type="paragraph" w:styleId="TOC1">
    <w:name w:val="toc 1"/>
    <w:basedOn w:val="Normal"/>
    <w:pPr>
      <w:tabs>
        <w:tab w:val="right" w:leader="dot" w:pos="9350"/>
      </w:tabs>
      <w:spacing w:before="200" w:after="40"/>
      <w:ind w:left="0"/>
    </w:pPr>
    <w:rPr>
      <w:b/>
      <w:color w:val="2c3e50"/>
    </w:rPr>
  </w:style>
  <w:style w:type="paragraph" w:styleId="TOC2">
    <w:name w:val="toc 2"/>
    <w:basedOn w:val="Normal"/>
    <w:pPr>
      <w:tabs>
        <w:tab w:val="right" w:leader="dot" w:pos="9350"/>
      </w:tabs>
      <w:spacing w:before="60" w:after="40"/>
      <w:ind w:left="360"/>
    </w:pPr>
    <w:rPr>
      <w:color w:val="5d6d7e"/>
    </w:rPr>
  </w:style>
  <w:style w:type="paragraph" w:styleId="TOC3">
    <w:name w:val="toc 3"/>
    <w:basedOn w:val="Normal"/>
    <w:pPr>
      <w:tabs>
        <w:tab w:val="right" w:leader="dot" w:pos="9350"/>
      </w:tabs>
      <w:spacing w:before="40" w:after="40"/>
      <w:ind w:left="720"/>
    </w:pPr>
    <w:rPr>
      <w:color w:val="5d6d7e"/>
    </w:rPr>
  </w:style>
</w:styles>
</file>

<file path=word/_rels/document.xml.rels><?xml version='1.0' encoding='UTF-8'?>
<Relationships xmlns="http://schemas.openxmlformats.org/package/2006/relationships"><Relationship Type="http://schemas.openxmlformats.org/officeDocument/2006/relationships/styles" Target="styles.xml" Id="Rdc63ad7999954576" /><Relationship Type="http://schemas.openxmlformats.org/officeDocument/2006/relationships/numbering" Target="numbering.xml" Id="Re836c13753a84d46" /><Relationship Type="http://schemas.openxmlformats.org/officeDocument/2006/relationships/image" Target="media/image.png" Id="R8f3ebe8f6262416f" /><Relationship Type="http://schemas.openxmlformats.org/officeDocument/2006/relationships/image" Target="media/image2.png" Id="R9525a218e1a342a7" /><Relationship Type="http://schemas.openxmlformats.org/officeDocument/2006/relationships/header" Target="header1.xml" Id="Rc491f093c5964dfd" /><Relationship Type="http://schemas.openxmlformats.org/officeDocument/2006/relationships/footer" Target="footer1.xml" Id="R7c1ae8d7ac04430d" /><Relationship Type="http://schemas.openxmlformats.org/officeDocument/2006/relationships/settings" Target="settings.xml" Id="R17268df17bac4eb7" /></Relationships>
</file>

<file path=word/_rels/header1.xml.rels><?xml version='1.0' encoding='UTF-8'?>
<Relationships xmlns="http://schemas.openxmlformats.org/package/2006/relationships"><Relationship Type="http://schemas.openxmlformats.org/officeDocument/2006/relationships/image" Target="media/image3.png" Id="R97da1edd72994606" /></Relationships>
</file>