
<file path=[Content_Types].xml><?xml version="1.0" encoding="utf-8"?>
<Types xmlns="http://schemas.openxmlformats.org/package/2006/content-types">
  <Default Extension="png" ContentType="image/png"/>
  <Default Extension="jpeg" ContentType="image/jpeg"/>
  <Default Extension="jp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outlineLvl w:val="9"/>
      </w:pPr>
      <w:r>
        <w:t xml:space="preserve">Pièces annexes destinées à l’éditeur</w:t>
      </w:r>
    </w:p>
    <w:p>
      <w:pPr>
        <w:pStyle w:val="BodyText"/>
      </w:pPr>
      <w:r>
        <w:rPr>
          <w:i w:val="1"/>
          <w:color w:val="595959"/>
        </w:rPr>
        <w:t xml:space="preserve">Ces deux pièces accompagnent le manuscrit ; elles ne font pas partie du corps de l’ouvrage.</w:t>
      </w:r>
    </w:p>
    <w:p>
      <w:pPr>
        <w:pStyle w:val="Heading1"/>
      </w:pPr>
      <w:r>
        <w:t xml:space="preserve">Annexe — Argumentaire de publication</w:t>
      </w:r>
    </w:p>
    <w:p>
      <w:pPr>
        <w:pStyle w:val="FirstParagraph"/>
      </w:pPr>
      <w:r>
        <w:rPr>
          <w:iCs/>
          <w:i/>
        </w:rPr>
        <w:t xml:space="preserve">Cette annexe est destinée aux éditeurs et prescripteurs ; elle ne fait pas partie du corps de l’ouvrage.</w:t>
      </w:r>
    </w:p>
    <w:p>
      <w:pPr>
        <w:pStyle w:val="BodyText"/>
      </w:pPr>
      <w:r>
        <w:rPr>
          <w:bCs/>
          <w:b/>
        </w:rPr>
        <w:t xml:space="preserve">Structure.</w:t>
      </w:r>
      <w:r>
        <w:t xml:space="preserve"> </w:t>
      </w:r>
      <w:r>
        <w:t xml:space="preserve">Vingt-quatre chapitres répartis en cinq parties, précédés d’un prologue, d’une préface et d’une note de méthode, suivis d’une conclusion et de trois annexes documentaires — dont une annexe critique qui expose la valeur de preuve de chaque source dépouillée, les incohérences relevées et ce que l’enquête n’a pas pu établir.</w:t>
      </w:r>
    </w:p>
    <w:p>
      <w:pPr>
        <w:pStyle w:val="BodyText"/>
      </w:pPr>
      <w:r>
        <w:rPr>
          <w:bCs/>
          <w:b/>
        </w:rPr>
        <w:t xml:space="preserve">Positionnement.</w:t>
      </w:r>
      <w:r>
        <w:t xml:space="preserve"> </w:t>
      </w:r>
      <w:r>
        <w:t xml:space="preserve">Essai documentaire de santé publique — ni thèse universitaire, ni rapport administratif, ni tract syndical. Un livre d’enquête à la première personne, adossé à un appareil de vérification systématique des sources (textes réglementaires, réponses ministérielles, rapports IGAS et Cour des comptes, données tarifaires), qui vise à devenir l’ouvrage de référence sur la profession d’ambulancier en France.</w:t>
      </w:r>
    </w:p>
    <w:p>
      <w:pPr>
        <w:pStyle w:val="BodyText"/>
      </w:pPr>
      <w:r>
        <w:rPr>
          <w:bCs/>
          <w:b/>
        </w:rPr>
        <w:t xml:space="preserve">Ce que le livre apporte de neuf.</w:t>
      </w:r>
      <w:r>
        <w:t xml:space="preserve"> </w:t>
      </w:r>
      <w:r>
        <w:t xml:space="preserve">Trois révélations structurent l’ouvrage : le verrou juridique exact du blocage statutaire, reconnu par écrit par le ministère ; le double précédent de 2021 (aides-soignants, auxiliaires de puériculture) qui fait de la séquence « le diplôme d’abord, le statut ensuite » une procédure administrative déjà éprouvée ; et l’invisibilité statistique de la profession, vérifiée quatre fois par quatre voies indépendantes. S’y ajoutent trois apports que l’enquête documentaire a rendus possibles : l’exhumation d’une lettre-circulaire de 1999, toujours en vigueur, qui qualifie d’exercice potentiellement illégal de la médecine les gestes que les ambulanciers SMUR accomplissent quotidiennement ; la généalogie archivistique du référentiel de formation français, dont on montre qu’il descend en ligne directe du dispositif conçu en 1939 par la Croix-Rouge pour ses conductrices-ambulancières ; et la description, de l’intérieur, du fonctionnement réel d’une centrale ambulancière hospitalière — effectifs, volumes, règles d’arbitrage et affectation au transport assis des agents que le brancardage a usés. S’y ajoute enfin une mise en perspective européenne (Allemagne, Suisse, Royaume-Uni) qui établit que la France est l’exception, non la règle, en matière de reconnaissance de ses ambulanciers, ainsi que des témoignages de terrain inédits — médecine nucléaire, transport des défunts, transports pénitentiaires sous escorte armée, transfusions en cours confiées sans surveillance, intérieur d’un contrat de sous-traitance passé par un CHU — qu’aucun observateur extérieur n’aurait pu recueillir.</w:t>
      </w:r>
    </w:p>
    <w:p>
      <w:pPr>
        <w:pStyle w:val="BodyText"/>
      </w:pPr>
      <w:r>
        <w:rPr>
          <w:bCs/>
          <w:b/>
        </w:rPr>
        <w:t xml:space="preserve">La chaîne de causalité économique, reconstituée.</w:t>
      </w:r>
      <w:r>
        <w:t xml:space="preserve"> </w:t>
      </w:r>
      <w:r>
        <w:t xml:space="preserve">L’ouvrage établit que la demande de transport sanitaire n’a pas augmenté toute seule : elle a été fabriquée par des décisions publiques identifiables et datées — la fermeture de 43 500 lits d’hospitalisation complète en dix ans et le virage ambulatoire qui l’accompagne, la gradation territoriale des plateaux techniques organisée par les groupements hospitaliers de territoire depuis 2016, le transfert du financement des transports inter-établissements vers les budgets hospitaliers en octobre 2018 et la généralisation des appels d’offres qui en découle. Pendant ce temps, le pouvoir d’achat des professionnels a été réglé par la fiscalité des heures supplémentaires puis par le décompte conventionnel du temps de travail — la fin du régime d’équivalence, en 2018-2019, ayant amélioré la valeur de l’heure au moment même où le tarif gelé conduisait les entreprises à en réduire le nombre — et jamais par la valeur reconnue à leur qualification. Cette chaîne est reconstituée à partir des textes et des données publiques, en distinguant à chaque étape ce qui est mesuré de ce qui ne l’est pas.</w:t>
      </w:r>
    </w:p>
    <w:p>
      <w:pPr>
        <w:pStyle w:val="BodyText"/>
      </w:pPr>
      <w:r>
        <w:rPr>
          <w:bCs/>
          <w:b/>
        </w:rPr>
        <w:t xml:space="preserve">Publics visés.</w:t>
      </w:r>
      <w:r>
        <w:t xml:space="preserve"> </w:t>
      </w:r>
      <w:r>
        <w:t xml:space="preserve">Décideurs publics (ministère de la Santé, parlementaires, directions d’ARS et de CHU) ; sapeurs-pompiers et acteurs de l’urgence ; journalistes santé et société ; les quelque 65 000 ambulanciers de France et leurs organisations ; étudiants et enseignants en santé publique, sociologie des professions et politiques publiques ; grand public sensibilisé aux questions hospitalières.</w:t>
      </w:r>
    </w:p>
    <w:p>
      <w:pPr>
        <w:pStyle w:val="BodyText"/>
      </w:pPr>
      <w:r>
        <w:rPr>
          <w:bCs/>
          <w:b/>
        </w:rPr>
        <w:t xml:space="preserve">Atouts pour la promotion.</w:t>
      </w:r>
      <w:r>
        <w:t xml:space="preserve"> </w:t>
      </w:r>
      <w:r>
        <w:t xml:space="preserve">Une actualité vive (grèves des ambulanciers publics et privés, crise des carences chez les pompiers, réforme tarifaire des taxis) ; un auteur légitime des deux côtés de la profession (dix ans dans le privé, dix ans à l’hôpital public), acteur du conflit toulousain ; un angle inédit reliant un dossier social à la résilience nationale et à la préparation des crises ; sept propositions concrètes qui donnent au livre une valeur opérationnelle pour le débat public.</w:t>
      </w:r>
    </w:p>
    <w:p>
      <w:pPr>
        <w:pStyle w:val="BodyText"/>
      </w:pPr>
      <w:r>
        <w:rPr>
          <w:bCs/>
          <w:b/>
        </w:rPr>
        <w:t xml:space="preserve">Format.</w:t>
      </w:r>
      <w:r>
        <w:t xml:space="preserve"> </w:t>
      </w:r>
      <w:r>
        <w:t xml:space="preserve">Environ 240 pages au format imprimé, illustrées (photographies de terrain de l’auteur, documents d’archives, infographies), avec bibliographie des sources vérifiées et annexe critique du corpus documentaire dépouillé.</w:t>
      </w:r>
    </w:p>
    <w:bookmarkEnd w:id="200"/>
    <w:bookmarkStart w:id="201" w:name="X59ed306273f0a2ee7e022a3927213102f9c08e3"/>
    <w:p>
      <w:pPr>
        <w:pStyle w:val="Heading1"/>
      </w:pPr>
      <w:r>
        <w:t xml:space="preserve">Annexe — Illustrations à insérer : épisode Covid et attentats de 2015</w:t>
      </w:r>
    </w:p>
    <w:p>
      <w:pPr>
        <w:pStyle w:val="FirstParagraph"/>
      </w:pPr>
      <w:r>
        <w:rPr>
          <w:iCs/>
          <w:i/>
        </w:rPr>
        <w:t xml:space="preserve">Cette annexe technique liste les illustrations complémentaires à intégrer avant publication, avec leur emplacement, leur légende rédigée et les exigences de licence. L’environnement de préparation de ce manuscrit ne permettant pas le téléchargement direct depuis les banques d’images, les fichiers devront être fournis par l’auteur ; les légendes ci-dessous sont prêtes à l’emploi.</w:t>
      </w:r>
    </w:p>
    <w:p>
      <w:pPr>
        <w:pStyle w:val="BodyText"/>
      </w:pPr>
      <w:r>
        <w:rPr>
          <w:bCs/>
          <w:b/>
        </w:rPr>
        <w:t xml:space="preserve">Exigences de licence.</w:t>
      </w:r>
      <w:r>
        <w:t xml:space="preserve"> </w:t>
      </w:r>
      <w:r>
        <w:t xml:space="preserve">Ne retenir que des images sous licence libre vérifiée — domaine public, CC0, CC-BY ou CC-BY-SA (avec crédit de l’auteur et mention de la licence en légende) — ou des photographies officielles explicitement réutilisables. Wikimedia Commons (catégories « COVID-19 pandemic in France » et « November 2015 Paris attacks ») constitue la source la plus sûre ; exclure toute photographie d’agence (AFP, AP, Reuters, Getty), y compris lorsqu’elle circule librement en ligne, ainsi que toute image montrant des victimes identifiables.</w:t>
      </w:r>
    </w:p>
    <w:p>
      <w:pPr>
        <w:pStyle w:val="BodyText"/>
      </w:pPr>
      <w:r>
        <w:rPr>
          <w:bCs/>
          <w:b/>
        </w:rPr>
        <w:t xml:space="preserve">Illustration 1 — Chapitre 7, section « 2020 : la première ligne, sans le nom ». INSÉRÉE.</w:t>
      </w:r>
      <w:r>
        <w:t xml:space="preserve"> </w:t>
      </w:r>
      <w:r>
        <w:t xml:space="preserve">Photographie fournie par l’auteur, qui en détient les droits : ambulancier en équipements de protection improvisés — surblouse en sac-poubelle et manches taillées dans des sacs DASRI — pendant la rupture de stock nationale ; visage flouté. Aucune régularisation nécessaire.</w:t>
      </w:r>
      <w:r>
        <w:t xml:space="preserve"> </w:t>
      </w:r>
      <w:r>
        <w:rPr>
          <w:iCs/>
          <w:i/>
        </w:rPr>
        <w:t xml:space="preserve">Une seconde image (équipage en combinaison dans la cellule sanitaire), d’apparence journalistique, a été retirée du manuscrit dans l’attente d’une source dont la licence soit établie ; cet emplacement, après le passage sur les TGV « Chardon », est désormais occupé par la caricature « L’année du Covid-19 » (image générée par intelligence artificielle).</w:t>
      </w:r>
    </w:p>
    <w:p>
      <w:pPr>
        <w:pStyle w:val="BodyText"/>
      </w:pPr>
      <w:r>
        <w:rPr>
          <w:bCs/>
          <w:b/>
        </w:rPr>
        <w:t xml:space="preserve">Illustration 2 — Chapitre 7, même section.</w:t>
      </w:r>
      <w:r>
        <w:t xml:space="preserve"> </w:t>
      </w:r>
      <w:r>
        <w:t xml:space="preserve">Sujet recherché : hommage aux soignants (applaudissements aux fenêtres, banderoles « merci aux soignants »). Légende prête :</w:t>
      </w:r>
      <w:r>
        <w:t xml:space="preserve"> </w:t>
      </w:r>
      <w:r>
        <w:rPr>
          <w:iCs/>
          <w:i/>
        </w:rPr>
        <w:t xml:space="preserve">« Les applaudissements de 20 heures ont célébré</w:t>
      </w:r>
      <w:r>
        <w:rPr>
          <w:iCs/>
          <w:i/>
        </w:rPr>
        <w:t xml:space="preserve"> </w:t>
      </w:r>
      <w:r>
        <w:rPr>
          <w:iCs/>
          <w:i/>
        </w:rPr>
        <w:t xml:space="preserve">“</w:t>
      </w:r>
      <w:r>
        <w:rPr>
          <w:iCs/>
          <w:i/>
        </w:rPr>
        <w:t xml:space="preserve">les soignants</w:t>
      </w:r>
      <w:r>
        <w:rPr>
          <w:iCs/>
          <w:i/>
        </w:rPr>
        <w:t xml:space="preserve">”</w:t>
      </w:r>
      <w:r>
        <w:rPr>
          <w:iCs/>
          <w:i/>
        </w:rPr>
        <w:t xml:space="preserve"> ; les ambulanciers, classés parmi les activités soignantes pour la maladie professionnelle, n’ont pas été nommés dans le récit des héros (photographie sous licence libre — crédit à compléter). »</w:t>
      </w:r>
    </w:p>
    <w:p>
      <w:pPr>
        <w:pStyle w:val="BodyText"/>
      </w:pPr>
      <w:r>
        <w:rPr>
          <w:bCs/>
          <w:b/>
        </w:rPr>
        <w:t xml:space="preserve">Illustration 3 — Chapitre 14, section « Des attentats aux blessures invisibles ». EMPLACEMENT DISPONIBLE.</w:t>
      </w:r>
      <w:r>
        <w:t xml:space="preserve"> </w:t>
      </w:r>
      <w:r>
        <w:t xml:space="preserve">Une image d’apparence journalistique (secouristes de la Croix-Rouge française évacuant une victime, nuit du 13 novembre 2015) y avait été insérée puis retirée, faute de licence établie. Sujet de remplacement recommandé : hommages de la place de la République ou du Bataclan (nombreuses photographies sous licence CC sur Wikimedia Commons), à l’exclusion de toute image de scène d’attaque ou de victime identifiable. Légende prête :</w:t>
      </w:r>
      <w:r>
        <w:t xml:space="preserve"> </w:t>
      </w:r>
      <w:r>
        <w:rPr>
          <w:iCs/>
          <w:i/>
        </w:rPr>
        <w:t xml:space="preserve">« Hommages aux victimes des attentats du 13 novembre 2015. Cette nuit-là, 88,6 % des professionnels intervenus immédiatement ont vu des cadavres ; l’enquête ESPA 13-Novembre a mesuré ensuite le stress post-traumatique des intervenants (photographie sous licence libre — crédit à compléter). »</w:t>
      </w:r>
    </w:p>
    <w:p>
      <w:pPr>
        <w:pStyle w:val="BodyText"/>
      </w:pPr>
      <w:r>
        <w:rPr>
          <w:bCs/>
          <w:b/>
        </w:rPr>
        <w:t xml:space="preserve">Illustration 4 — Chapitre 14, même section (optionnelle).</w:t>
      </w:r>
      <w:r>
        <w:t xml:space="preserve"> </w:t>
      </w:r>
      <w:r>
        <w:t xml:space="preserve">Sujet recherché : véhicules de secours ou poste médical avancé lors d’un exercice d’afflux massif de victimes (les photographies d’exercices publics des SDIS ou de la sécurité civile sont parfois sous licence réutilisable). Légende prête :</w:t>
      </w:r>
      <w:r>
        <w:t xml:space="preserve"> </w:t>
      </w:r>
      <w:r>
        <w:rPr>
          <w:iCs/>
          <w:i/>
        </w:rPr>
        <w:t xml:space="preserve">« Exercice de prise en charge d’un afflux massif de victimes : à chaque extrémité de la chaîne, des équipages ambulanciers — sans formation au psychotraumatisme dans leur référentiel (photographie sous licence libre — crédit à compléter). »</w:t>
      </w:r>
    </w:p>
    <w:p>
      <w:pPr>
        <w:pStyle w:val="BodyText"/>
      </w:pPr>
      <w:r>
        <w:rPr>
          <w:iCs/>
          <w:i/>
        </w:rPr>
        <w:t xml:space="preserve">Une fois les fichiers fournis, leur insertion aux emplacements indiqués et la finalisation des crédits relèvent d’une simple opération de mise en page.</w:t>
      </w:r>
    </w:p>
    <w:bookmarkEnd w:id="201"/>
    <w:bookmarkStart w:id="207" w:name="X8f561c49820771161514dc6f934f3f6fb916f8f"/>
    <w:sectPr>
      <w:pgSz w:h="15840" w:w="12240" w:orient="portrait"/>
      <w:pgMar w:bottom="1440" w:top="1440" w:left="1440" w:righ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lang w:bidi="ar-SA" w:eastAsia="fr-FR"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2026-07-30T20:05:39Z</dcterms:created>
  <dcterms:modified xsi:type="dcterms:W3CDTF">2026-07-30T20:05:39Z</dcterms:modified>
</cp:coreProperties>
</file>

<file path=docProps/custom.xml><?xml version="1.0" encoding="utf-8"?>
<Properties xmlns="http://schemas.openxmlformats.org/officeDocument/2006/custom-properties" xmlns:vt="http://schemas.openxmlformats.org/officeDocument/2006/docPropsVTypes"/>
</file>