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257"/>
          <w:spacing w:val="20"/>
          <w:sz w:val="20"/>
          <w:szCs w:val="20"/>
        </w:rPr>
        <w:t xml:space="preserve">AMBULANCIERS — LE MAILLON OUBLIÉ DU SYSTÈME DE SANTÉ FRANÇAIS</w:t>
      </w:r>
    </w:p>
    <w:p>
      <w:pPr>
        <w:pBdr>
          <w:bottom w:val="single" w:color="B4453E" w:sz="6" w:space="6"/>
        </w:pBdr>
        <w:spacing w:after="240"/>
      </w:pPr>
      <w:r>
        <w:rPr>
          <w:rFonts w:ascii="Cambria" w:cs="Cambria" w:eastAsia="Cambria" w:hAnsi="Cambria"/>
          <w:i/>
          <w:iCs/>
          <w:color w:val="595959"/>
          <w:sz w:val="20"/>
          <w:szCs w:val="20"/>
        </w:rPr>
        <w:t xml:space="preserve">Laurent Bezia — dossier de présentation</w:t>
      </w:r>
    </w:p>
    <w:p>
      <w:pPr>
        <w:pStyle w:val="Heading1"/>
        <w:spacing w:after="180" w:before="0"/>
      </w:pPr>
      <w:r>
        <w:rPr>
          <w:rFonts w:ascii="Calibri" w:cs="Calibri" w:eastAsia="Calibri" w:hAnsi="Calibri"/>
          <w:b/>
          <w:bCs/>
          <w:color w:val="4F81BD"/>
          <w:sz w:val="32"/>
          <w:szCs w:val="32"/>
        </w:rPr>
        <w:t xml:space="preserve">Note d’intention</w:t>
      </w:r>
    </w:p>
    <w:p>
      <w:pPr>
        <w:spacing w:after="140" w:line="276"/>
        <w:jc w:val="both"/>
      </w:pPr>
      <w:r>
        <w:rPr>
          <w:rFonts w:ascii="Cambria" w:cs="Cambria" w:eastAsia="Cambria" w:hAnsi="Cambria"/>
          <w:b w:val="false"/>
          <w:bCs w:val="false"/>
          <w:i w:val="false"/>
          <w:iCs w:val="false"/>
          <w:sz w:val="22"/>
          <w:szCs w:val="22"/>
        </w:rPr>
        <w:t xml:space="preserve">Je suis ambulancier depuis vingt ans. Dix ans dans le privé — de l’entreprise familiale de trois salariés à une société de cent soixante personnes cotée en bourse —, puis dix ans à l’hôpital public, au CHU de Toulouse, où je suis aujourd’hui représentant du personnel et l’un des lanceurs d’alerte de la grève illimitée engagée le 11 mai 2026. La ligne de fracture entre le privé et le public, qui structure une grande partie de ce livre, je ne l’ai pas étudiée de l’extérieur : je l’ai traversée.</w:t>
      </w:r>
    </w:p>
    <w:p>
      <w:pPr>
        <w:spacing w:after="140" w:line="276"/>
        <w:jc w:val="both"/>
      </w:pPr>
      <w:r>
        <w:rPr>
          <w:rFonts w:ascii="Cambria" w:cs="Cambria" w:eastAsia="Cambria" w:hAnsi="Cambria"/>
          <w:b w:val="false"/>
          <w:bCs w:val="false"/>
          <w:i/>
          <w:iCs/>
          <w:sz w:val="22"/>
          <w:szCs w:val="22"/>
        </w:rPr>
        <w:t xml:space="preserve">Ce vécu aurait pu suffire à nourrir un plaidoyer. J’ai voulu autre chose : une enquête.</w:t>
      </w:r>
    </w:p>
    <w:p>
      <w:pPr>
        <w:pStyle w:val="Heading2"/>
        <w:spacing w:after="120" w:before="260"/>
      </w:pPr>
      <w:r>
        <w:rPr>
          <w:rFonts w:ascii="Calibri" w:cs="Calibri" w:eastAsia="Calibri" w:hAnsi="Calibri"/>
          <w:b/>
          <w:bCs/>
          <w:color w:val="4F81BD"/>
          <w:sz w:val="26"/>
          <w:szCs w:val="26"/>
        </w:rPr>
        <w:t xml:space="preserve">Ce qui a déclenché ce livre</w:t>
      </w:r>
    </w:p>
    <w:p>
      <w:pPr>
        <w:spacing w:after="140" w:line="276"/>
        <w:jc w:val="both"/>
      </w:pPr>
      <w:r>
        <w:rPr>
          <w:rFonts w:ascii="Cambria" w:cs="Cambria" w:eastAsia="Cambria" w:hAnsi="Cambria"/>
          <w:i w:val="false"/>
          <w:iCs w:val="false"/>
          <w:sz w:val="22"/>
          <w:szCs w:val="22"/>
        </w:rPr>
        <w:t xml:space="preserve">En mai 2026, soixante-cinq ambulanciers d’un CHU cessent le travail. Sur leurs pancartes, une phrase : « On transporte des êtres vivants, pas des colis. » La presse locale couvre le conflit trois jours, puis passe. Ce qui m’a décidé à écrire n’est pas l’indifférence — elle est banale —, c’est ce que j’ai découvert en cherchant les chiffres du dossier pour préparer nos réunions : ils n’existaient pas. Ni l’âge moyen de la profession, ni son ancienneté, ni le nombre de ceux qui la quittent chaque année. Une profession de santé de quelque soixante-cinq mille personnes, indispensable au fonctionnement quotidien du système de soins, n’apparaît dans aucun des grands dispositifs statistiques qui suivent les métiers de la santé en France. L’invisibilité dont nous nous plaignions n’était pas une impression militante : elle était mesurable, et elle était totale.</w:t>
      </w:r>
    </w:p>
    <w:p>
      <w:pPr>
        <w:pStyle w:val="Heading2"/>
        <w:spacing w:after="120" w:before="260"/>
      </w:pPr>
      <w:r>
        <w:rPr>
          <w:rFonts w:ascii="Calibri" w:cs="Calibri" w:eastAsia="Calibri" w:hAnsi="Calibri"/>
          <w:b/>
          <w:bCs/>
          <w:color w:val="4F81BD"/>
          <w:sz w:val="26"/>
          <w:szCs w:val="26"/>
        </w:rPr>
        <w:t xml:space="preserve">La règle que je me suis donnée</w:t>
      </w:r>
    </w:p>
    <w:p>
      <w:pPr>
        <w:spacing w:after="140" w:line="276"/>
        <w:jc w:val="both"/>
      </w:pPr>
      <w:r>
        <w:rPr>
          <w:rFonts w:ascii="Cambria" w:cs="Cambria" w:eastAsia="Cambria" w:hAnsi="Cambria"/>
          <w:i w:val="false"/>
          <w:iCs w:val="false"/>
          <w:sz w:val="22"/>
          <w:szCs w:val="22"/>
        </w:rPr>
        <w:t xml:space="preserve">Aucune donnée chiffrée, aucune référence, aucun fait n’est inventé dans ce livre, et aucune affirmation issue d’une source partisane — syndicale ou patronale — n’y est reprise sans avoir été confrontée à une source primaire indépendante chaque fois que c’était possible. Textes publiés au Journal officiel, réponses ministérielles, rapports de l’IGAS et de la Cour des comptes, données de la DREES, thèses de médecine et de génie industriel, archives de la Croix-Rouge : chaque affirmation porte le statut que ses sources autorisent, et le livre dit explicitement ce qu’il n’a pas pu établir.</w:t>
      </w:r>
    </w:p>
    <w:p>
      <w:pPr>
        <w:spacing w:after="140" w:line="276"/>
        <w:jc w:val="both"/>
      </w:pPr>
      <w:r>
        <w:rPr>
          <w:rFonts w:ascii="Cambria" w:cs="Cambria" w:eastAsia="Cambria" w:hAnsi="Cambria"/>
          <w:i w:val="false"/>
          <w:iCs w:val="false"/>
          <w:sz w:val="22"/>
          <w:szCs w:val="22"/>
        </w:rPr>
        <w:t xml:space="preserve">Cette discipline a eu un coût, et c’est ce coût qui fait à mes yeux la valeur du livre : elle a corrigé nos propres certitudes militantes. Le niveau exact du diplôme d’ambulancier, que les documents syndicaux présentaient comme équivalent à celui des aides-soignants, ne l’est pas. Plusieurs chiffres qui circulaient dans le débat n’ont pas résisté à la vérification, et je le signale au lecteur. Loin d’affaiblir la cause, ces corrections l’ont rendue plus solide — parce qu’elles ont mis au jour le mécanisme réel du blocage.</w:t>
      </w:r>
    </w:p>
    <w:p>
      <w:pPr>
        <w:pStyle w:val="Heading2"/>
        <w:spacing w:after="120" w:before="260"/>
      </w:pPr>
      <w:r>
        <w:rPr>
          <w:rFonts w:ascii="Calibri" w:cs="Calibri" w:eastAsia="Calibri" w:hAnsi="Calibri"/>
          <w:b/>
          <w:bCs/>
          <w:color w:val="4F81BD"/>
          <w:sz w:val="26"/>
          <w:szCs w:val="26"/>
        </w:rPr>
        <w:t xml:space="preserve">Ce que l’enquête établit</w:t>
      </w:r>
    </w:p>
    <w:p>
      <w:pPr>
        <w:spacing w:after="140" w:line="276"/>
        <w:jc w:val="both"/>
      </w:pPr>
      <w:r>
        <w:rPr>
          <w:rFonts w:ascii="Cambria" w:cs="Cambria" w:eastAsia="Cambria" w:hAnsi="Cambria"/>
          <w:i w:val="false"/>
          <w:iCs w:val="false"/>
          <w:sz w:val="22"/>
          <w:szCs w:val="22"/>
        </w:rPr>
        <w:t xml:space="preserve">Le blocage statutaire des ambulanciers n’est pas une résistance administrative diffuse. C’est un verrou juridique précis, que le ministère de la Santé formule noir sur blanc dans ses réponses au Parlement : le diplôme d’État d’ambulancier reste d’un niveau infra-baccalauréat, ce qui interdit le reclassement en catégorie B. La clé du dossier n’est donc pas d’abord statutaire, elle est certificative — et toute revendication catégorielle qui ignore ce point se heurtera indéfiniment au même mur.</w:t>
      </w:r>
    </w:p>
    <w:p>
      <w:pPr>
        <w:spacing w:after="140" w:line="276"/>
        <w:jc w:val="both"/>
      </w:pPr>
      <w:r>
        <w:rPr>
          <w:rFonts w:ascii="Cambria" w:cs="Cambria" w:eastAsia="Cambria" w:hAnsi="Cambria"/>
          <w:i w:val="false"/>
          <w:iCs w:val="false"/>
          <w:sz w:val="22"/>
          <w:szCs w:val="22"/>
        </w:rPr>
        <w:t xml:space="preserve">Or ce verrou a déjà sauté, deux fois, pour deux professions comparables. En 2021, le diplôme d’aide-soignant et celui d’auxiliaire de puériculture ont été relevés au niveau 4 ; trois mois plus tard, ces professions passaient en catégorie B. La séquence — le diplôme d’abord, le statut ensuite — n’est pas une hypothèse de réforme : c’est une procédure que l’État a lui-même appliquée récemment. La voie n’est pas à inventer, elle est à répliquer. C’est la découverte centrale de ce livre, et ni les organisations syndicales ni le ministère ne l’avaient mise en avant.</w:t>
      </w:r>
    </w:p>
    <w:p>
      <w:pPr>
        <w:spacing w:after="140" w:line="276"/>
        <w:jc w:val="both"/>
      </w:pPr>
      <w:r>
        <w:rPr>
          <w:rFonts w:ascii="Cambria" w:cs="Cambria" w:eastAsia="Cambria" w:hAnsi="Cambria"/>
          <w:i w:val="false"/>
          <w:iCs w:val="false"/>
          <w:sz w:val="22"/>
          <w:szCs w:val="22"/>
        </w:rPr>
        <w:t xml:space="preserve">Autour de ce constat, l’enquête en documente quatre autres : le ciseau tarifaire qui asphyxie le secteur privé et fait basculer sur les sapeurs-pompiers un volume croissant de carences ; l’écart, ancien et documenté, entre le métier réellement exercé et le référentiel de formation — jusqu’à cette lettre-circulaire de 1999, toujours en vigueur, qui prévient les ambulanciers de SMUR que les gestes qu’ils accomplissent chaque jour les exposent à des poursuites pour exercice illégal de la médecine ; l’invisibilité statistique, vérifiée par quatre voies indépendantes ; et le miroir européen, qui montre que l’Allemagne, la Suisse et le Royaume-Uni ont répondu à la même évolution du métier en élevant la formation. La France n’est pas dans la moyenne : elle est l’exception.</w:t>
      </w:r>
    </w:p>
    <w:p>
      <w:pPr>
        <w:pStyle w:val="Heading2"/>
        <w:spacing w:after="120" w:before="260"/>
      </w:pPr>
      <w:r>
        <w:rPr>
          <w:rFonts w:ascii="Calibri" w:cs="Calibri" w:eastAsia="Calibri" w:hAnsi="Calibri"/>
          <w:b/>
          <w:bCs/>
          <w:color w:val="4F81BD"/>
          <w:sz w:val="26"/>
          <w:szCs w:val="26"/>
        </w:rPr>
        <w:t xml:space="preserve">Ce que ce livre s’interdit</w:t>
      </w:r>
    </w:p>
    <w:p>
      <w:pPr>
        <w:spacing w:after="140" w:line="276"/>
        <w:jc w:val="both"/>
      </w:pPr>
      <w:r>
        <w:rPr>
          <w:rFonts w:ascii="Cambria" w:cs="Cambria" w:eastAsia="Cambria" w:hAnsi="Cambria"/>
          <w:i w:val="false"/>
          <w:iCs w:val="false"/>
          <w:sz w:val="22"/>
          <w:szCs w:val="22"/>
        </w:rPr>
        <w:t xml:space="preserve">Il s’interdit l’argument qui aurait été le plus commode. Aucune donnée française ne démontre qu’un patient ait subi une perte de chance faute d’un équipage mieux formé — non parce que ce serait faux, mais parce que notre pays a organisé un système dans lequel la question ne peut pas être posée : il n’existe aucun registre national des événements indésirables du transport sanitaire. Ce vide est, en soi, l’un des résultats de l’enquête, et l’une des sept propositions du dernier chapitre consiste à le combler.</w:t>
      </w:r>
    </w:p>
    <w:p>
      <w:pPr>
        <w:spacing w:after="140" w:line="276"/>
        <w:jc w:val="both"/>
      </w:pPr>
      <w:r>
        <w:rPr>
          <w:rFonts w:ascii="Cambria" w:cs="Cambria" w:eastAsia="Cambria" w:hAnsi="Cambria"/>
          <w:i w:val="false"/>
          <w:iCs w:val="false"/>
          <w:sz w:val="22"/>
          <w:szCs w:val="22"/>
        </w:rPr>
        <w:t xml:space="preserve">Il s’interdit aussi de caricaturer ses contradicteurs. L’objection des médecins urgentistes à la paramédicalisation est rapportée dans le livre à sa force maximale, dans les mots de l’un d’eux, sans être affaiblie — et la littérature scientifique internationale qu’elle invoque est lue avec ses nuances, y compris lorsqu’elle ne conclut pas dans le sens que j’aurais souhaité.</w:t>
      </w:r>
    </w:p>
    <w:p>
      <w:pPr>
        <w:pStyle w:val="Heading2"/>
        <w:spacing w:after="120" w:before="260"/>
      </w:pPr>
      <w:r>
        <w:rPr>
          <w:rFonts w:ascii="Calibri" w:cs="Calibri" w:eastAsia="Calibri" w:hAnsi="Calibri"/>
          <w:b/>
          <w:bCs/>
          <w:color w:val="4F81BD"/>
          <w:sz w:val="26"/>
          <w:szCs w:val="26"/>
        </w:rPr>
        <w:t xml:space="preserve">À qui ce livre s’adresse</w:t>
      </w:r>
    </w:p>
    <w:p>
      <w:pPr>
        <w:spacing w:after="140" w:line="276"/>
        <w:jc w:val="both"/>
      </w:pPr>
      <w:r>
        <w:rPr>
          <w:rFonts w:ascii="Cambria" w:cs="Cambria" w:eastAsia="Cambria" w:hAnsi="Cambria"/>
          <w:i w:val="false"/>
          <w:iCs w:val="false"/>
          <w:sz w:val="22"/>
          <w:szCs w:val="22"/>
        </w:rPr>
        <w:t xml:space="preserve">Aux décideurs publics — ministère de la Santé, parlementaires, directions d’ARS et d’établissements — pour qui les sept propositions finales, chiffrées entre huit et trente-deux millions d’euros par an, constituent un dossier directement exploitable. Aux sapeurs-pompiers et aux acteurs de l’urgence, qui paient aujourd’hui le prix du déséquilibre. Aux journalistes qui couvrent l’hôpital sans disposer, jusqu’ici, d’un ouvrage de référence sur ce maillon. Aux ambulanciers eux-mêmes, pour qu’ils disposent enfin d’un argumentaire vérifié. Et au lecteur qui, un jour, montera dans une ambulance.</w:t>
      </w:r>
    </w:p>
    <w:p>
      <w:pPr>
        <w:pStyle w:val="Heading2"/>
        <w:spacing w:after="120" w:before="260"/>
      </w:pPr>
      <w:r>
        <w:rPr>
          <w:rFonts w:ascii="Calibri" w:cs="Calibri" w:eastAsia="Calibri" w:hAnsi="Calibri"/>
          <w:b/>
          <w:bCs/>
          <w:color w:val="4F81BD"/>
          <w:sz w:val="26"/>
          <w:szCs w:val="26"/>
        </w:rPr>
        <w:t xml:space="preserve">Ce que je cherche</w:t>
      </w:r>
    </w:p>
    <w:p>
      <w:pPr>
        <w:spacing w:after="140" w:line="276"/>
        <w:jc w:val="both"/>
      </w:pPr>
      <w:r>
        <w:rPr>
          <w:rFonts w:ascii="Cambria" w:cs="Cambria" w:eastAsia="Cambria" w:hAnsi="Cambria"/>
          <w:i w:val="false"/>
          <w:iCs w:val="false"/>
          <w:sz w:val="22"/>
          <w:szCs w:val="22"/>
        </w:rPr>
        <w:t xml:space="preserve">Un éditeur qui accepte qu’un essai documentaire soit à la fois écrit à la première personne et adossé à un appareil de vérification systématique — les deux ne s’excluent pas, c’est même la proposition de ce livre. Le manuscrit est achevé : vingt-quatre chapitres, cinq parties, sept propositions, une bibliographie des sources vérifiées et une annexe critique qui expose la valeur de preuve de chaque document dépouillé. Il est illustré de photographies de terrain, de documents d’archives et d’infographies construites exclusivement à partir des données citées dans le texte. Le calendrier joue pour lui : le conflit hospitalier est ouvert, la réforme tarifaire du transport sanitaire est en cours, et la paramédicalisation des SMUR, engagée par décret sans débat public, rendra la question du diplôme incontournable dans les mois qui viennent.</w:t>
      </w:r>
    </w:p>
    <w:p>
      <w:pPr>
        <w:spacing w:before="260"/>
        <w:jc w:val="right"/>
      </w:pPr>
      <w:r>
        <w:rPr>
          <w:rFonts w:ascii="Cambria" w:cs="Cambria" w:eastAsia="Cambria" w:hAnsi="Cambria"/>
          <w:i/>
          <w:iCs/>
          <w:color w:val="595959"/>
          <w:sz w:val="21"/>
          <w:szCs w:val="21"/>
        </w:rPr>
        <w:t xml:space="preserve">Laurent Bezia, Toulouse,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2026-07-31T09:39:32.193Z</dcterms:created>
  <dcterms:modified xsi:type="dcterms:W3CDTF">2026-07-31T09:39:32.194Z</dcterms:modified>
</cp:coreProperties>
</file>

<file path=docProps/custom.xml><?xml version="1.0" encoding="utf-8"?>
<Properties xmlns="http://schemas.openxmlformats.org/officeDocument/2006/custom-properties" xmlns:vt="http://schemas.openxmlformats.org/officeDocument/2006/docPropsVTypes"/>
</file>