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48"/>
          <w:szCs w:val="48"/>
        </w:rPr>
        <w:t xml:space="preserve">SYNTHÈSE JURIDIQUE</w:t>
      </w:r>
    </w:p>
    <w:p>
      <w:pPr>
        <w:spacing w:after="100" w:before="0"/>
        <w:jc w:val="center"/>
      </w:pPr>
      <w:r>
        <w:rPr>
          <w:rFonts w:ascii="Arial" w:cs="Arial" w:eastAsia="Arial" w:hAnsi="Arial"/>
          <w:color w:val="2E75B6"/>
          <w:sz w:val="28"/>
          <w:szCs w:val="28"/>
        </w:rPr>
        <w:t xml:space="preserve">Revendications des Ambulanciers du CHU de Toulouse</w:t>
      </w:r>
    </w:p>
    <w:p>
      <w:pPr>
        <w:spacing w:after="80" w:before="100"/>
        <w:jc w:val="center"/>
      </w:pPr>
      <w:r>
        <w:rPr>
          <w:rFonts w:ascii="Arial" w:cs="Arial" w:eastAsia="Arial" w:hAnsi="Arial"/>
          <w:i/>
          <w:iCs/>
          <w:color w:val="555555"/>
          <w:sz w:val="22"/>
          <w:szCs w:val="22"/>
        </w:rPr>
        <w:t xml:space="preserve">Dans le cadre du mouvement de grève — Juin 2026</w:t>
      </w:r>
    </w:p>
    <w:p>
      <w:pPr>
        <w:pBdr>
          <w:bottom w:val="single" w:color="C9A62A" w:sz="8" w:space="4"/>
        </w:pBdr>
        <w:spacing w:after="600" w:before="200"/>
        <w:jc w:val="center"/>
      </w:pPr>
      <w:r>
        <w:rPr>
          <w:rFonts w:ascii="Arial" w:cs="Arial" w:eastAsia="Arial" w:hAnsi="Arial"/>
          <w:i/>
          <w:iCs/>
          <w:color w:val="777777"/>
          <w:sz w:val="18"/>
          <w:szCs w:val="18"/>
        </w:rPr>
        <w:t xml:space="preserve">Analyse fondée sur les pièces produites : fiche de poste A0055 · CR réunion 27 mai 2026 · textes CSP · règlement mortuaire · note avocat IA</w:t>
      </w:r>
    </w:p>
    <w:p>
      <w:pPr>
        <w:pBdr>
          <w:left w:val="single" w:color="C9A62A" w:sz="16" w:space="4"/>
        </w:pBdr>
        <w:shd w:fill="FFF3CD" w:val="clear"/>
        <w:spacing w:after="80" w:before="300"/>
        <w:ind w:left="300"/>
      </w:pPr>
      <w:r>
        <w:rPr>
          <w:rFonts w:ascii="Arial" w:cs="Arial" w:eastAsia="Arial" w:hAnsi="Arial"/>
          <w:b/>
          <w:bCs/>
          <w:color w:val="856404"/>
          <w:sz w:val="20"/>
          <w:szCs w:val="20"/>
        </w:rPr>
        <w:t xml:space="preserve">⚠ AVERTISSEMENT : </w:t>
      </w:r>
      <w:r>
        <w:rPr>
          <w:rFonts w:ascii="Arial" w:cs="Arial" w:eastAsia="Arial" w:hAnsi="Arial"/>
          <w:color w:val="856404"/>
          <w:sz w:val="20"/>
          <w:szCs w:val="20"/>
        </w:rPr>
        <w:t xml:space="preserve">Ce document est une analyse juridique à visée syndicale et stratégique. Il ne constitue pas un avis d'avocat au sens de la loi du 31 décembre 1971 et ne saurait remplacer la consultation d'un avocat inscrit au barreau. Les probabilités de succès mentionnées sont indicatives.</w:t>
      </w:r>
    </w:p>
    <w:p>
      <w:pPr>
        <w:spacing w:after="60" w:before="60"/>
      </w:pPr>
      <w:r>
        <w:t xml:space="preserve"/>
      </w:r>
    </w:p>
    <w:p>
      <w:pPr>
        <w:pStyle w:val="Heading1"/>
        <w:pBdr>
          <w:bottom w:val="single" w:color="2E75B6" w:sz="6" w:space="4"/>
        </w:pBdr>
        <w:spacing w:after="200" w:before="400"/>
      </w:pPr>
      <w:r>
        <w:rPr>
          <w:rFonts w:ascii="Arial" w:cs="Arial" w:eastAsia="Arial" w:hAnsi="Arial"/>
          <w:b/>
          <w:bCs/>
          <w:color w:val="1F3864"/>
          <w:sz w:val="28"/>
          <w:szCs w:val="28"/>
        </w:rPr>
        <w:t xml:space="preserve">I. CONTEXTE ET FAITS ÉTABLIS</w:t>
      </w:r>
    </w:p>
    <w:p>
      <w:pPr>
        <w:pStyle w:val="Heading2"/>
        <w:spacing w:after="150" w:before="300"/>
      </w:pPr>
      <w:r>
        <w:rPr>
          <w:rFonts w:ascii="Arial" w:cs="Arial" w:eastAsia="Arial" w:hAnsi="Arial"/>
          <w:b/>
          <w:bCs/>
          <w:color w:val="2E75B6"/>
          <w:sz w:val="24"/>
          <w:szCs w:val="24"/>
        </w:rPr>
        <w:t xml:space="preserve">1.1 La grève et ses protagonistes</w:t>
      </w:r>
    </w:p>
    <w:p>
      <w:pPr>
        <w:spacing w:after="80" w:before="80"/>
      </w:pPr>
      <w:r>
        <w:rPr>
          <w:rFonts w:ascii="Arial" w:cs="Arial" w:eastAsia="Arial" w:hAnsi="Arial"/>
          <w:sz w:val="20"/>
          <w:szCs w:val="20"/>
        </w:rPr>
        <w:t xml:space="preserve">Le mouvement de grève a débuté il y a trois semaines à la date du compte rendu du 27 mai 2026. Il oppose les ambulanciers du CHU de Toulouse, représentés par les syndicats SUD et CGT (dépositaires du préavis), à la Direction représentée par Mme Roger (DRH), M. Poggi (DRH adjoint), M. Huet (Directeur PHA) et Mme Donadio (Responsable filière).</w:t>
      </w:r>
    </w:p>
    <w:p>
      <w:pPr>
        <w:spacing w:after="60" w:before="60"/>
      </w:pPr>
      <w:r>
        <w:t xml:space="preserve"/>
      </w:r>
    </w:p>
    <w:p>
      <w:pPr>
        <w:pStyle w:val="Heading2"/>
        <w:spacing w:after="150" w:before="300"/>
      </w:pPr>
      <w:r>
        <w:rPr>
          <w:rFonts w:ascii="Arial" w:cs="Arial" w:eastAsia="Arial" w:hAnsi="Arial"/>
          <w:b/>
          <w:bCs/>
          <w:color w:val="2E75B6"/>
          <w:sz w:val="24"/>
          <w:szCs w:val="24"/>
        </w:rPr>
        <w:t xml:space="preserve">1.2 Volume d'activité réelle — La preuve chiffrée</w:t>
      </w:r>
    </w:p>
    <w:p>
      <w:pPr>
        <w:spacing w:after="80" w:before="80"/>
      </w:pPr>
      <w:r>
        <w:rPr>
          <w:rFonts w:ascii="Arial" w:cs="Arial" w:eastAsia="Arial" w:hAnsi="Arial"/>
          <w:sz w:val="20"/>
          <w:szCs w:val="20"/>
        </w:rPr>
        <w:t xml:space="preserve">L'image d'activité 2025 produite aux débats établit un volume de </w:t>
      </w:r>
      <w:r>
        <w:rPr>
          <w:rFonts w:ascii="Arial" w:cs="Arial" w:eastAsia="Arial" w:hAnsi="Arial"/>
          <w:b/>
          <w:bCs/>
          <w:color w:val="1F3864"/>
          <w:sz w:val="20"/>
          <w:szCs w:val="20"/>
        </w:rPr>
        <w:t xml:space="preserve">56 843 transports</w:t>
      </w:r>
      <w:r>
        <w:rPr>
          <w:rFonts w:ascii="Arial" w:cs="Arial" w:eastAsia="Arial" w:hAnsi="Arial"/>
          <w:sz w:val="20"/>
          <w:szCs w:val="20"/>
        </w:rPr>
        <w:t xml:space="preserve"> annuels répartis comme suit :</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500"/>
        <w:gridCol w:w="2530"/>
        <w:gridCol w:w="2530"/>
      </w:tblGrid>
      <w:tr>
        <w:trPr>
          <w:tblHeader/>
        </w:trPr>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Secteur</w:t>
            </w:r>
          </w:p>
        </w:tc>
        <w:tc>
          <w:tcPr>
            <w:tcW w:type="dxa" w:w="25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annuel</w:t>
            </w:r>
          </w:p>
        </w:tc>
        <w:tc>
          <w:tcPr>
            <w:tcW w:type="dxa" w:w="253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Observations</w:t>
            </w:r>
          </w:p>
        </w:tc>
      </w:tr>
      <w:tr>
        <w:tc>
          <w:tcPr>
            <w:tcW w:type="dxa" w:w="35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Urgences (sorties + entrées)</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4 033</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11 transports/jour — activité structurelle</w:t>
            </w:r>
          </w:p>
        </w:tc>
      </w:tr>
      <w:tr>
        <w:tc>
          <w:tcPr>
            <w:tcW w:type="dxa" w:w="35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Transports de corps (Dépôt)</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1 660</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dont 1 045 de nuit / WE — 4,5 corps/jour</w:t>
            </w:r>
          </w:p>
        </w:tc>
      </w:tr>
      <w:tr>
        <w:tc>
          <w:tcPr>
            <w:tcW w:type="dxa" w:w="35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Psychiatrie / Urgences psy</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3 751</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Patients sous contrainte — risque sécuritaire</w:t>
            </w:r>
          </w:p>
        </w:tc>
      </w:tr>
      <w:tr>
        <w:tc>
          <w:tcPr>
            <w:tcW w:type="dxa" w:w="35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UHSI / Détenus</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734</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dont 623 sous escorte — risque pénitentiaire</w:t>
            </w:r>
          </w:p>
        </w:tc>
      </w:tr>
      <w:tr>
        <w:tc>
          <w:tcPr>
            <w:tcW w:type="dxa" w:w="35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Gériatrie / Soins palliatifs</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2 244</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1 848 gériatrie + 396 soins palliatifs</w:t>
            </w:r>
          </w:p>
        </w:tc>
      </w:tr>
      <w:tr>
        <w:tc>
          <w:tcPr>
            <w:tcW w:type="dxa" w:w="35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Pédiatrie</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426</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Compétences relationnelles spécifiques</w:t>
            </w:r>
          </w:p>
        </w:tc>
      </w:tr>
      <w:tr>
        <w:tc>
          <w:tcPr>
            <w:tcW w:type="dxa" w:w="35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Autres transports internes</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~43 955</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sz w:val="18"/>
                <w:szCs w:val="18"/>
              </w:rPr>
              <w:t xml:space="preserve">Imagerie, BO, consultations, plateaux techniques</w:t>
            </w:r>
          </w:p>
        </w:tc>
      </w:tr>
      <w:tr>
        <w:tc>
          <w:tcPr>
            <w:tcW w:type="dxa" w:w="35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bCs/>
                <w:sz w:val="18"/>
                <w:szCs w:val="18"/>
              </w:rPr>
              <w:t xml:space="preserve">TOTAL 2025</w:t>
            </w:r>
          </w:p>
        </w:tc>
        <w:tc>
          <w:tcPr>
            <w:tcW w:type="dxa" w:w="253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56 843</w:t>
            </w:r>
          </w:p>
        </w:tc>
        <w:tc>
          <w:tcPr>
            <w:tcW w:type="dxa" w:w="253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bCs/>
                <w:sz w:val="18"/>
                <w:szCs w:val="18"/>
              </w:rPr>
              <w:t xml:space="preserve">Source : relevé d'activité logiciel de régulation</w:t>
            </w:r>
          </w:p>
        </w:tc>
      </w:tr>
    </w:tbl>
    <w:p>
      <w:pPr>
        <w:spacing w:after="60" w:before="60"/>
      </w:pPr>
      <w:r>
        <w:t xml:space="preserve"/>
      </w:r>
    </w:p>
    <w:p>
      <w:pPr>
        <w:pBdr>
          <w:left w:val="single" w:color="2E75B6" w:sz="12" w:space="4"/>
        </w:pBdr>
        <w:shd w:fill="D6E4F0" w:val="clear"/>
        <w:spacing w:after="120" w:before="120"/>
        <w:ind w:left="720"/>
      </w:pPr>
      <w:r>
        <w:rPr>
          <w:rFonts w:ascii="Arial" w:cs="Arial" w:eastAsia="Arial" w:hAnsi="Arial"/>
          <w:i/>
          <w:iCs/>
          <w:color w:val="1F3864"/>
          <w:sz w:val="20"/>
          <w:szCs w:val="20"/>
        </w:rPr>
        <w:t xml:space="preserve">Ces données chiffrées constituent la pièce maîtresse du dossier. Elles réfutent point par point les qualifications d'activité « occasionnelle » ou de mission « non médicalisée » avancées par la DRH.</w:t>
      </w:r>
    </w:p>
    <w:p>
      <w:pPr>
        <w:spacing w:after="60" w:before="60"/>
      </w:pPr>
      <w:r>
        <w:t xml:space="preserve"/>
      </w:r>
    </w:p>
    <w:p>
      <w:pPr>
        <w:pStyle w:val="Heading2"/>
        <w:spacing w:after="150" w:before="300"/>
      </w:pPr>
      <w:r>
        <w:rPr>
          <w:rFonts w:ascii="Arial" w:cs="Arial" w:eastAsia="Arial" w:hAnsi="Arial"/>
          <w:b/>
          <w:bCs/>
          <w:color w:val="2E75B6"/>
          <w:sz w:val="24"/>
          <w:szCs w:val="24"/>
        </w:rPr>
        <w:t xml:space="preserve">1.3 Les dysfonctionnements relevés au service minimum</w:t>
      </w:r>
    </w:p>
    <w:p>
      <w:pPr>
        <w:spacing w:after="80" w:before="80"/>
      </w:pPr>
      <w:r>
        <w:rPr>
          <w:rFonts w:ascii="Arial" w:cs="Arial" w:eastAsia="Arial" w:hAnsi="Arial"/>
          <w:sz w:val="20"/>
          <w:szCs w:val="20"/>
        </w:rPr>
        <w:t xml:space="preserve">La direction a relevé des entraves au service minimum : pneus dégonflés, téléphones déchargés, sorties du parking retardées. Les premiers transports du 26 mai n'ont été réalisés qu'à 10h alors que les agents assignés avaient pris leur poste à 6h18. Ces faits sont importants à double titre : ils illustrent la profondeur du malaise des agents ET constituent des risques disciplinaires individuels à ne pas sous-estimer.</w:t>
      </w:r>
    </w:p>
    <w:p>
      <w:pPr>
        <w:spacing w:after="60" w:before="60"/>
      </w:pPr>
      <w:r>
        <w:t xml:space="preserve"/>
      </w:r>
    </w:p>
    <w:p>
      <w:pPr>
        <w:pStyle w:val="Heading1"/>
        <w:pBdr>
          <w:bottom w:val="single" w:color="2E75B6" w:sz="6" w:space="4"/>
        </w:pBdr>
        <w:spacing w:after="200" w:before="400"/>
      </w:pPr>
      <w:r>
        <w:rPr>
          <w:rFonts w:ascii="Arial" w:cs="Arial" w:eastAsia="Arial" w:hAnsi="Arial"/>
          <w:b/>
          <w:bCs/>
          <w:color w:val="1F3864"/>
          <w:sz w:val="28"/>
          <w:szCs w:val="28"/>
        </w:rPr>
        <w:t xml:space="preserve">II. ANALYSE JURIDIQUE DES QUATRE REVENDICATIONS</w:t>
      </w:r>
    </w:p>
    <w:p>
      <w:pPr>
        <w:pStyle w:val="Heading2"/>
        <w:spacing w:after="150" w:before="300"/>
      </w:pPr>
      <w:r>
        <w:rPr>
          <w:rFonts w:ascii="Arial" w:cs="Arial" w:eastAsia="Arial" w:hAnsi="Arial"/>
          <w:b/>
          <w:bCs/>
          <w:color w:val="2E75B6"/>
          <w:sz w:val="24"/>
          <w:szCs w:val="24"/>
        </w:rPr>
        <w:t xml:space="preserve">2.1 Revendication n°1 — NBI et IFR</w:t>
      </w:r>
    </w:p>
    <w:p>
      <w:pPr>
        <w:pStyle w:val="Heading3"/>
        <w:spacing w:after="100" w:before="200"/>
      </w:pPr>
      <w:r>
        <w:rPr>
          <w:rFonts w:ascii="Arial" w:cs="Arial" w:eastAsia="Arial" w:hAnsi="Arial"/>
          <w:b/>
          <w:bCs/>
          <w:color w:val="C9A62A"/>
          <w:sz w:val="22"/>
          <w:szCs w:val="22"/>
        </w:rPr>
        <w:t xml:space="preserve">A. La NBI de 20 points (affectation SAMU/SMUR)</w:t>
      </w:r>
    </w:p>
    <w:p>
      <w:pPr>
        <w:spacing w:after="80" w:before="80"/>
      </w:pPr>
      <w:r>
        <w:rPr>
          <w:rFonts w:ascii="Arial" w:cs="Arial" w:eastAsia="Arial" w:hAnsi="Arial"/>
          <w:sz w:val="20"/>
          <w:szCs w:val="20"/>
        </w:rPr>
        <w:t xml:space="preserve">Texte applicable : Décret n° 92-112 du 3 février 1992. L'article exige une affectation permanente à la conduite des véhicules d'intervention des UMH agissant dans le cadre du SAMU ou du SMUR.</w:t>
      </w:r>
    </w:p>
    <w:p>
      <w:pPr>
        <w:spacing w:after="60" w:before="60"/>
      </w:pPr>
      <w:r>
        <w:t xml:space="preserve"/>
      </w:r>
    </w:p>
    <w:p>
      <w:pPr>
        <w:spacing w:after="80" w:before="80"/>
      </w:pPr>
      <w:r>
        <w:rPr>
          <w:rFonts w:ascii="Arial" w:cs="Arial" w:eastAsia="Arial" w:hAnsi="Arial"/>
          <w:b/>
          <w:bCs/>
          <w:sz w:val="20"/>
          <w:szCs w:val="20"/>
        </w:rPr>
        <w:t xml:space="preserve">Position de la DRH (CR 27 mai 2026) : </w:t>
      </w:r>
      <w:r>
        <w:rPr>
          <w:rFonts w:ascii="Arial" w:cs="Arial" w:eastAsia="Arial" w:hAnsi="Arial"/>
          <w:sz w:val="20"/>
          <w:szCs w:val="20"/>
        </w:rPr>
        <w:t xml:space="preserve">Les ambulanciers de la filière transport patient ne conduisent pas les véhicules du SAMU et du SMUR. La NBI ne peut être accordée.</w:t>
      </w:r>
    </w:p>
    <w:p>
      <w:pPr>
        <w:spacing w:after="60" w:before="60"/>
      </w:pPr>
      <w:r>
        <w:t xml:space="preserve"/>
      </w:r>
    </w:p>
    <w:p>
      <w:pPr>
        <w:spacing w:after="80" w:before="80"/>
      </w:pPr>
      <w:r>
        <w:rPr>
          <w:rFonts w:ascii="Arial" w:cs="Arial" w:eastAsia="Arial" w:hAnsi="Arial"/>
          <w:b/>
          <w:bCs/>
          <w:sz w:val="20"/>
          <w:szCs w:val="20"/>
        </w:rPr>
        <w:t xml:space="preserve">Analyse critique : </w:t>
      </w:r>
      <w:r>
        <w:rPr>
          <w:rFonts w:ascii="Arial" w:cs="Arial" w:eastAsia="Arial" w:hAnsi="Arial"/>
          <w:sz w:val="20"/>
          <w:szCs w:val="20"/>
        </w:rPr>
        <w:t xml:space="preserve">La DRH applique le décret stricto sensu. Or, les données d'activité révèlent que ces agents pallient structurellement les carences en personnels SMUR. L'argument de la pénurie médicale, s'il est documenté, affaiblit la position de la DRH mais ne suffira probablement pas seul devant le juge administratif, en raison de la rédaction très précise du décret.</w:t>
      </w:r>
    </w:p>
    <w:p>
      <w:pPr>
        <w:spacing w:after="60" w:before="60"/>
      </w:pPr>
      <w:r>
        <w:t xml:space="preserve"/>
      </w:r>
    </w:p>
    <w:p>
      <w:pPr>
        <w:pBdr>
          <w:left w:val="single" w:color="2E75B6" w:sz="12" w:space="4"/>
        </w:pBdr>
        <w:shd w:fill="D6E4F0" w:val="clear"/>
        <w:spacing w:after="120" w:before="120"/>
        <w:ind w:left="720"/>
      </w:pPr>
      <w:r>
        <w:rPr>
          <w:rFonts w:ascii="Arial" w:cs="Arial" w:eastAsia="Arial" w:hAnsi="Arial"/>
          <w:i/>
          <w:iCs/>
          <w:color w:val="1F3864"/>
          <w:sz w:val="20"/>
          <w:szCs w:val="20"/>
        </w:rPr>
        <w:t xml:space="preserve">Stratégie recommandée : Ne pas porter cette revendication isolément au contentieux. L'utiliser comme levier de négociation pour obtenir l'IFR, plus défendable, ou une révision des fiches d'affectation créant une part de temps formalisée auprès des urgences (modèle Angers).</w:t>
      </w:r>
    </w:p>
    <w:p>
      <w:pPr>
        <w:pStyle w:val="Heading3"/>
        <w:spacing w:after="100" w:before="200"/>
      </w:pPr>
      <w:r>
        <w:rPr>
          <w:rFonts w:ascii="Arial" w:cs="Arial" w:eastAsia="Arial" w:hAnsi="Arial"/>
          <w:b/>
          <w:bCs/>
          <w:color w:val="C9A62A"/>
          <w:sz w:val="22"/>
          <w:szCs w:val="22"/>
        </w:rPr>
        <w:t xml:space="preserve">B. La NBI de 10 points (chambres mortuaires)</w:t>
      </w:r>
    </w:p>
    <w:p>
      <w:pPr>
        <w:spacing w:after="80" w:before="80"/>
      </w:pPr>
      <w:r>
        <w:rPr>
          <w:rFonts w:ascii="Arial" w:cs="Arial" w:eastAsia="Arial" w:hAnsi="Arial"/>
          <w:sz w:val="20"/>
          <w:szCs w:val="20"/>
        </w:rPr>
        <w:t xml:space="preserve">Texte applicable : Les décrets sur la NBI chambres mortuaires exigent que les agents assurent à titre exclusif le transport, la toilette et l'habillage des corps et la préparation des autopsies.</w:t>
      </w:r>
    </w:p>
    <w:p>
      <w:pPr>
        <w:spacing w:after="60" w:before="60"/>
      </w:pPr>
      <w:r>
        <w:t xml:space="preserve"/>
      </w:r>
    </w:p>
    <w:p>
      <w:pPr>
        <w:spacing w:after="80" w:before="80"/>
      </w:pPr>
      <w:r>
        <w:rPr>
          <w:rFonts w:ascii="Arial" w:cs="Arial" w:eastAsia="Arial" w:hAnsi="Arial"/>
          <w:b/>
          <w:bCs/>
          <w:sz w:val="20"/>
          <w:szCs w:val="20"/>
        </w:rPr>
        <w:t xml:space="preserve">Position de la DRH : </w:t>
      </w:r>
      <w:r>
        <w:rPr>
          <w:rFonts w:ascii="Arial" w:cs="Arial" w:eastAsia="Arial" w:hAnsi="Arial"/>
          <w:sz w:val="20"/>
          <w:szCs w:val="20"/>
        </w:rPr>
        <w:t xml:space="preserve">Les activités des ambulanciers ne sont pas exclusivement dédiées à ces fonctions et ne concernent que le transport. Refus maintenu.</w:t>
      </w:r>
    </w:p>
    <w:p>
      <w:pPr>
        <w:spacing w:after="60" w:before="60"/>
      </w:pPr>
      <w:r>
        <w:t xml:space="preserve"/>
      </w:r>
    </w:p>
    <w:p>
      <w:pPr>
        <w:spacing w:after="80" w:before="80"/>
      </w:pPr>
      <w:r>
        <w:rPr>
          <w:rFonts w:ascii="Arial" w:cs="Arial" w:eastAsia="Arial" w:hAnsi="Arial"/>
          <w:b/>
          <w:bCs/>
          <w:sz w:val="20"/>
          <w:szCs w:val="20"/>
        </w:rPr>
        <w:t xml:space="preserve">Analyse critique — L'argument de la nuit et du week-end : </w:t>
      </w:r>
      <w:r>
        <w:rPr>
          <w:rFonts w:ascii="Arial" w:cs="Arial" w:eastAsia="Arial" w:hAnsi="Arial"/>
          <w:sz w:val="20"/>
          <w:szCs w:val="20"/>
        </w:rPr>
        <w:t xml:space="preserve">Sur les 1 660 transports de corps annuels, 1 045 (soit 63 %) sont réalisés en horaires décalés (avant 8h, après 17h30), hors présence du personnel de chambre mortuaire. Sur ces plages, les ambulanciers assurent seuls l'intégralité de la chaîne légale : identification du bracelet, saisie sur logiciel M2Pi, mise en casier réfrigéré. Le règlement intérieur des chambres mortuaires du CHU (annexe 13, p.7) confirme que les ambulanciers sont en charge de ces transports. Le seul texte contesté est le critère d'exclusivité.</w:t>
      </w:r>
    </w:p>
    <w:p>
      <w:pPr>
        <w:spacing w:after="60" w:before="60"/>
      </w:pPr>
      <w:r>
        <w:t xml:space="preserve"/>
      </w:r>
    </w:p>
    <w:p>
      <w:pPr>
        <w:pBdr>
          <w:left w:val="single" w:color="2E75B6" w:sz="12" w:space="4"/>
        </w:pBdr>
        <w:shd w:fill="D6E4F0" w:val="clear"/>
        <w:spacing w:after="120" w:before="120"/>
        <w:ind w:left="720"/>
      </w:pPr>
      <w:r>
        <w:rPr>
          <w:rFonts w:ascii="Arial" w:cs="Arial" w:eastAsia="Arial" w:hAnsi="Arial"/>
          <w:i/>
          <w:iCs/>
          <w:color w:val="1F3864"/>
          <w:sz w:val="20"/>
          <w:szCs w:val="20"/>
        </w:rPr>
        <w:t xml:space="preserve">Probabilité forte : 75 %. Le juge administratif pourrait retenir soit l'application extensive de la NBI pour les plages nocturnes, soit — et c'est l'alternative stratégique la plus solide — contraindre l'établissement à créer une indemnité locale de sujétion spéciale (comme au CHU d'Angers), que le Conseil de Surveillance peut voter sur fonds propres.</w:t>
      </w:r>
    </w:p>
    <w:p>
      <w:pPr>
        <w:pStyle w:val="Heading3"/>
        <w:spacing w:after="100" w:before="200"/>
      </w:pPr>
      <w:r>
        <w:rPr>
          <w:rFonts w:ascii="Arial" w:cs="Arial" w:eastAsia="Arial" w:hAnsi="Arial"/>
          <w:b/>
          <w:bCs/>
          <w:color w:val="C9A62A"/>
          <w:sz w:val="22"/>
          <w:szCs w:val="22"/>
        </w:rPr>
        <w:t xml:space="preserve">C. L'Indemnité Forfaitaire de Risque (IFR — 118 €/mois)</w:t>
      </w:r>
    </w:p>
    <w:p>
      <w:pPr>
        <w:spacing w:after="80" w:before="80"/>
      </w:pPr>
      <w:r>
        <w:rPr>
          <w:rFonts w:ascii="Arial" w:cs="Arial" w:eastAsia="Arial" w:hAnsi="Arial"/>
          <w:sz w:val="20"/>
          <w:szCs w:val="20"/>
        </w:rPr>
        <w:t xml:space="preserve">Texte applicable : Art. R.6123-1 CSP. L'IFR est octroyée en cas d'exercice, pour au moins 50 % du temps de travail, dans les structures de médecine d'urgence (SAMU, SMUR, SAU).</w:t>
      </w:r>
    </w:p>
    <w:p>
      <w:pPr>
        <w:spacing w:after="60" w:before="60"/>
      </w:pPr>
      <w:r>
        <w:t xml:space="preserve"/>
      </w:r>
    </w:p>
    <w:p>
      <w:pPr>
        <w:spacing w:after="80" w:before="80"/>
      </w:pPr>
      <w:r>
        <w:rPr>
          <w:rFonts w:ascii="Arial" w:cs="Arial" w:eastAsia="Arial" w:hAnsi="Arial"/>
          <w:b/>
          <w:bCs/>
          <w:sz w:val="20"/>
          <w:szCs w:val="20"/>
        </w:rPr>
        <w:t xml:space="preserve">Position de la DRH : </w:t>
      </w:r>
      <w:r>
        <w:rPr>
          <w:rFonts w:ascii="Arial" w:cs="Arial" w:eastAsia="Arial" w:hAnsi="Arial"/>
          <w:sz w:val="20"/>
          <w:szCs w:val="20"/>
        </w:rPr>
        <w:t xml:space="preserve">Une activité à hauteur de 0,25 % pour l'UHSI ne suffit pas. La structure spatiale du travail (hors des murs du SAU) est opposée.</w:t>
      </w:r>
    </w:p>
    <w:p>
      <w:pPr>
        <w:spacing w:after="60" w:before="60"/>
      </w:pPr>
      <w:r>
        <w:t xml:space="preserve"/>
      </w:r>
    </w:p>
    <w:p>
      <w:pPr>
        <w:spacing w:after="80" w:before="80"/>
      </w:pPr>
      <w:r>
        <w:rPr>
          <w:rFonts w:ascii="Arial" w:cs="Arial" w:eastAsia="Arial" w:hAnsi="Arial"/>
          <w:b/>
          <w:bCs/>
          <w:sz w:val="20"/>
          <w:szCs w:val="20"/>
        </w:rPr>
        <w:t xml:space="preserve">Contre-argumentation chiffrée : </w:t>
      </w:r>
      <w:r>
        <w:rPr>
          <w:rFonts w:ascii="Arial" w:cs="Arial" w:eastAsia="Arial" w:hAnsi="Arial"/>
          <w:sz w:val="20"/>
          <w:szCs w:val="20"/>
        </w:rPr>
        <w:t xml:space="preserve">4 033 transports Urgences + 3 751 transports Psychiatrie = 7 784 transports à caractère urgent ou sécuritaire, soit 13,7 % de l'activité totale. L'argument spatial de la DRH ("dans" le service) s'oppose à la réalité fonctionnelle : l'ambulance est le prolongement opérationnel de la chaîne urgence.</w:t>
      </w:r>
    </w:p>
    <w:p>
      <w:pPr>
        <w:spacing w:after="60" w:before="60"/>
      </w:pPr>
      <w:r>
        <w:t xml:space="preserve"/>
      </w:r>
    </w:p>
    <w:p>
      <w:pPr>
        <w:spacing w:after="80" w:before="80"/>
        <w:ind w:left="500"/>
      </w:pPr>
      <w:r>
        <w:rPr>
          <w:rFonts w:ascii="Arial" w:cs="Arial" w:eastAsia="Arial" w:hAnsi="Arial"/>
          <w:i/>
          <w:iCs/>
          <w:color w:val="555555"/>
          <w:sz w:val="18"/>
          <w:szCs w:val="18"/>
        </w:rPr>
        <w:t xml:space="preserve">La décision du Conseil d'État n°467063, évoquée dans vos revendications, pourrait constituer un précédent utile si elle retient une lecture téléologique (finalité de l'acte) plutôt que topographique (lieu physique). Il conviendra de vérifier l'exacte portée de cet arrêt.</w:t>
      </w:r>
    </w:p>
    <w:p>
      <w:pPr>
        <w:spacing w:after="60" w:before="60"/>
      </w:pPr>
      <w:r>
        <w:t xml:space="preserve"/>
      </w:r>
    </w:p>
    <w:p>
      <w:pPr>
        <w:pBdr>
          <w:left w:val="single" w:color="2E75B6" w:sz="12" w:space="4"/>
        </w:pBdr>
        <w:shd w:fill="D6E4F0" w:val="clear"/>
        <w:spacing w:after="120" w:before="120"/>
        <w:ind w:left="720"/>
      </w:pPr>
      <w:r>
        <w:rPr>
          <w:rFonts w:ascii="Arial" w:cs="Arial" w:eastAsia="Arial" w:hAnsi="Arial"/>
          <w:i/>
          <w:iCs/>
          <w:color w:val="1F3864"/>
          <w:sz w:val="20"/>
          <w:szCs w:val="20"/>
        </w:rPr>
        <w:t xml:space="preserve">Probabilité favorable : 60 %. C'est le terrain contentieux le plus incertain car il repose sur une bataille d'interprétation textuelle. En revanche, dans le cadre d'une négociation syndicale, 7 784 transports à risque constituent un argument moral et factuel décisif.</w:t>
      </w:r>
    </w:p>
    <w:p>
      <w:pPr>
        <w:spacing w:after="60" w:before="60"/>
      </w:pPr>
      <w:r>
        <w:t xml:space="preserve"/>
      </w:r>
    </w:p>
    <w:p>
      <w:pPr>
        <w:pStyle w:val="Heading2"/>
        <w:spacing w:after="150" w:before="300"/>
      </w:pPr>
      <w:r>
        <w:rPr>
          <w:rFonts w:ascii="Arial" w:cs="Arial" w:eastAsia="Arial" w:hAnsi="Arial"/>
          <w:b/>
          <w:bCs/>
          <w:color w:val="2E75B6"/>
          <w:sz w:val="24"/>
          <w:szCs w:val="24"/>
        </w:rPr>
        <w:t xml:space="preserve">2.2 Revendication n°2 — Réactualisation de la fiche de poste (A0055)</w:t>
      </w:r>
    </w:p>
    <w:p>
      <w:pPr>
        <w:spacing w:after="80" w:before="80"/>
      </w:pPr>
      <w:r>
        <w:rPr>
          <w:rFonts w:ascii="Arial" w:cs="Arial" w:eastAsia="Arial" w:hAnsi="Arial"/>
          <w:sz w:val="20"/>
          <w:szCs w:val="20"/>
        </w:rPr>
        <w:t xml:space="preserve">La fiche de poste A0055 version juillet 2020 comporte plusieurs inadéquations majeures par rapport aux missions réelles des agents :</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280"/>
        <w:gridCol w:w="4280"/>
      </w:tblGrid>
      <w:tr>
        <w:trPr>
          <w:tblHeader/>
        </w:trPr>
        <w:tc>
          <w:tcPr>
            <w:tcW w:type="dxa" w:w="4280"/>
            <w:tcBorders>
              <w:top w:val="single" w:color="AAAAAA" w:sz="1"/>
              <w:left w:val="single" w:color="AAAAAA" w:sz="1"/>
              <w:bottom w:val="single" w:color="AAAAAA" w:sz="1"/>
              <w:right w:val="single" w:color="AAAAAA"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Ce que dit la fiche A0055 (2020)</w:t>
            </w:r>
          </w:p>
        </w:tc>
        <w:tc>
          <w:tcPr>
            <w:tcW w:type="dxa" w:w="4280"/>
            <w:tcBorders>
              <w:top w:val="single" w:color="AAAAAA" w:sz="1"/>
              <w:left w:val="single" w:color="AAAAAA" w:sz="1"/>
              <w:bottom w:val="single" w:color="AAAAAA" w:sz="1"/>
              <w:right w:val="single" w:color="AAAAAA"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Ce que font réellement les agents (2025)</w:t>
            </w:r>
          </w:p>
        </w:tc>
      </w:tr>
      <w:tr>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Transport de patients « non médicalisés »</w:t>
            </w:r>
          </w:p>
        </w:tc>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Transports complexes : UHSI (734/an), soins palliatifs (396), psy sous contrainte (3 751)</w:t>
            </w:r>
          </w:p>
        </w:tc>
      </w:tr>
      <w:tr>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Aucune mention du transport de corps</w:t>
            </w:r>
          </w:p>
        </w:tc>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1 660 transports de corps par an dont 1 045 la nuit/WE en totale autonomie</w:t>
            </w:r>
          </w:p>
        </w:tc>
      </w:tr>
      <w:tr>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Aucune mention SAMU, SMUR, médecine nucléaire, pédiatrie</w:t>
            </w:r>
          </w:p>
        </w:tc>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Interventions régulières pour ces services (données 2025)</w:t>
            </w:r>
          </w:p>
        </w:tc>
      </w:tr>
      <w:tr>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Grade cible : Conducteur Ambulancier (catégorie C)</w:t>
            </w:r>
          </w:p>
        </w:tc>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Décret n° 2021-1825 : reclassement en catégorie B — filière soignante</w:t>
            </w:r>
          </w:p>
        </w:tc>
      </w:tr>
      <w:tr>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Compétences : « SF de base » sur évaluation clinique</w:t>
            </w:r>
          </w:p>
        </w:tc>
        <w:tc>
          <w:tcPr>
            <w:tcW w:type="dxa" w:w="428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sz w:val="18"/>
                <w:szCs w:val="18"/>
              </w:rPr>
              <w:t xml:space="preserve">Évaluation clinique et transmission SAMU obligatoires en urgence vitale (procédure QUA-PR-050)</w:t>
            </w:r>
          </w:p>
        </w:tc>
      </w:tr>
    </w:tbl>
    <w:p>
      <w:pPr>
        <w:spacing w:after="60" w:before="60"/>
      </w:pPr>
      <w:r>
        <w:t xml:space="preserve"/>
      </w:r>
    </w:p>
    <w:p>
      <w:pPr>
        <w:spacing w:after="80" w:before="80"/>
      </w:pPr>
      <w:r>
        <w:rPr>
          <w:rFonts w:ascii="Arial" w:cs="Arial" w:eastAsia="Arial" w:hAnsi="Arial"/>
          <w:b/>
          <w:bCs/>
          <w:sz w:val="20"/>
          <w:szCs w:val="20"/>
        </w:rPr>
        <w:t xml:space="preserve">Fondement juridique : </w:t>
      </w:r>
      <w:r>
        <w:rPr>
          <w:rFonts w:ascii="Arial" w:cs="Arial" w:eastAsia="Arial" w:hAnsi="Arial"/>
          <w:sz w:val="20"/>
          <w:szCs w:val="20"/>
        </w:rPr>
        <w:t xml:space="preserve">La fiche de poste d'un agent public doit légalement refléter ses missions réelles (principe de correspondance emploi/poste). La DRH reconnaît elle-même dans ses réponses que des missions complexes sont exercées. Cette contradiction interne est l'argument le plus solide du dossier.</w:t>
      </w:r>
    </w:p>
    <w:p>
      <w:pPr>
        <w:spacing w:after="60" w:before="60"/>
      </w:pPr>
      <w:r>
        <w:t xml:space="preserve"/>
      </w:r>
    </w:p>
    <w:p>
      <w:pPr>
        <w:pBdr>
          <w:left w:val="single" w:color="2E75B6" w:sz="12" w:space="4"/>
        </w:pBdr>
        <w:shd w:fill="D6E4F0" w:val="clear"/>
        <w:spacing w:after="120" w:before="120"/>
        <w:ind w:left="720"/>
      </w:pPr>
      <w:r>
        <w:rPr>
          <w:rFonts w:ascii="Arial" w:cs="Arial" w:eastAsia="Arial" w:hAnsi="Arial"/>
          <w:i/>
          <w:iCs/>
          <w:color w:val="1F3864"/>
          <w:sz w:val="20"/>
          <w:szCs w:val="20"/>
        </w:rPr>
        <w:t xml:space="preserve">Probabilité quasi-certaine : 95 %. Un juge administratif ou un inspecteur du travail contraindra l'établissement à réécrire la fiche en conformité avec 56 843 transports réels et le décret n° 2021-1825 de reclassement en catégorie B. La DRH n'a aucun argument tenable pour maintenir une fiche de 2020 non actualisée.</w:t>
      </w:r>
    </w:p>
    <w:p>
      <w:pPr>
        <w:spacing w:after="60" w:before="60"/>
      </w:pPr>
      <w:r>
        <w:t xml:space="preserve"/>
      </w:r>
    </w:p>
    <w:p>
      <w:pPr>
        <w:pStyle w:val="Heading2"/>
        <w:spacing w:after="150" w:before="300"/>
      </w:pPr>
      <w:r>
        <w:rPr>
          <w:rFonts w:ascii="Arial" w:cs="Arial" w:eastAsia="Arial" w:hAnsi="Arial"/>
          <w:b/>
          <w:bCs/>
          <w:color w:val="2E75B6"/>
          <w:sz w:val="24"/>
          <w:szCs w:val="24"/>
        </w:rPr>
        <w:t xml:space="preserve">2.3 Revendication n°3 — Cadre réglementaire pour le transport de corps</w:t>
      </w:r>
    </w:p>
    <w:p>
      <w:pPr>
        <w:pStyle w:val="Heading3"/>
        <w:spacing w:after="100" w:before="200"/>
      </w:pPr>
      <w:r>
        <w:rPr>
          <w:rFonts w:ascii="Arial" w:cs="Arial" w:eastAsia="Arial" w:hAnsi="Arial"/>
          <w:b/>
          <w:bCs/>
          <w:color w:val="C9A62A"/>
          <w:sz w:val="22"/>
          <w:szCs w:val="22"/>
        </w:rPr>
        <w:t xml:space="preserve">A. Ce que dit le droit</w:t>
      </w:r>
    </w:p>
    <w:p>
      <w:pPr>
        <w:spacing w:after="80" w:before="80"/>
      </w:pPr>
      <w:r>
        <w:rPr>
          <w:rFonts w:ascii="Arial" w:cs="Arial" w:eastAsia="Arial" w:hAnsi="Arial"/>
          <w:sz w:val="20"/>
          <w:szCs w:val="20"/>
        </w:rPr>
        <w:t xml:space="preserve">L'article L.2223-43 CGCT précise que les établissements de santé publics assurant le transport de corps avant mise en bière doivent être titulaires de l'habilitation prévue à l'article L.2223-23 CGCT. M. Huet a lui-même confirmé en réunion que cette mission relève bien des agents hospitaliers et qu'il est réglementairement possible de la confier aux ambulanciers et brancardiers.</w:t>
      </w:r>
    </w:p>
    <w:p>
      <w:pPr>
        <w:spacing w:after="60" w:before="60"/>
      </w:pPr>
      <w:r>
        <w:t xml:space="preserve"/>
      </w:r>
    </w:p>
    <w:p>
      <w:pPr>
        <w:spacing w:after="80" w:before="80"/>
      </w:pPr>
      <w:r>
        <w:rPr>
          <w:rFonts w:ascii="Arial" w:cs="Arial" w:eastAsia="Arial" w:hAnsi="Arial"/>
          <w:sz w:val="20"/>
          <w:szCs w:val="20"/>
        </w:rPr>
        <w:t xml:space="preserve">Le règlement intérieur des chambres mortuaires (2020, annexe 13, page 7) confirme que les ambulanciers sont en charge du transport des corps au sein de l'établissement. La base réglementaire est donc établie par l'établissement lui-même.</w:t>
      </w:r>
    </w:p>
    <w:p>
      <w:pPr>
        <w:pStyle w:val="Heading3"/>
        <w:spacing w:after="100" w:before="200"/>
      </w:pPr>
      <w:r>
        <w:rPr>
          <w:rFonts w:ascii="Arial" w:cs="Arial" w:eastAsia="Arial" w:hAnsi="Arial"/>
          <w:b/>
          <w:bCs/>
          <w:color w:val="C9A62A"/>
          <w:sz w:val="22"/>
          <w:szCs w:val="22"/>
        </w:rPr>
        <w:t xml:space="preserve">B. Le problème identifié : absence d'habilitation formelle et de reconnaissance</w:t>
      </w:r>
    </w:p>
    <w:p>
      <w:pPr>
        <w:spacing w:after="80" w:before="80"/>
      </w:pPr>
      <w:r>
        <w:rPr>
          <w:rFonts w:ascii="Arial" w:cs="Arial" w:eastAsia="Arial" w:hAnsi="Arial"/>
          <w:sz w:val="20"/>
          <w:szCs w:val="20"/>
        </w:rPr>
        <w:t xml:space="preserve">Le représentant CGT a relevé en séance que cette mission est confiée aux ambulanciers sans habilitation formelle et sans prime de reconnaissance. L'incident du transport d'une famille dans l'ambulance (sans défunt) révèle une confusion des missions, symptomatique d'un protocole insuffisamment précis.</w:t>
      </w:r>
    </w:p>
    <w:p>
      <w:pPr>
        <w:spacing w:after="60" w:before="60"/>
      </w:pPr>
      <w:r>
        <w:t xml:space="preserve"/>
      </w:r>
    </w:p>
    <w:p>
      <w:pPr>
        <w:spacing w:after="80" w:before="80"/>
      </w:pPr>
      <w:r>
        <w:rPr>
          <w:rFonts w:ascii="Arial" w:cs="Arial" w:eastAsia="Arial" w:hAnsi="Arial"/>
          <w:b/>
          <w:bCs/>
          <w:sz w:val="20"/>
          <w:szCs w:val="20"/>
        </w:rPr>
        <w:t xml:space="preserve">Volume objectif : </w:t>
      </w:r>
      <w:r>
        <w:rPr>
          <w:rFonts w:ascii="Arial" w:cs="Arial" w:eastAsia="Arial" w:hAnsi="Arial"/>
          <w:sz w:val="20"/>
          <w:szCs w:val="20"/>
        </w:rPr>
        <w:t xml:space="preserve">1 660 transports de corps par an. 63 % réalisés la nuit et le week-end en dehors des horaires d'ouverture des chambres mortuaires. Sur ces plages, les ambulanciers assurent l'intégralité de la chaîne médico-légale (bracelet d'identification, logiciel M2Pi, casier réfrigéré) — responsabilité réelle, non rémunérée spécifiquement.</w:t>
      </w:r>
    </w:p>
    <w:p>
      <w:pPr>
        <w:spacing w:after="60" w:before="60"/>
      </w:pPr>
      <w:r>
        <w:t xml:space="preserve"/>
      </w:r>
    </w:p>
    <w:p>
      <w:pPr>
        <w:pBdr>
          <w:left w:val="single" w:color="2E75B6" w:sz="12" w:space="4"/>
        </w:pBdr>
        <w:shd w:fill="D6E4F0" w:val="clear"/>
        <w:spacing w:after="120" w:before="120"/>
        <w:ind w:left="720"/>
      </w:pPr>
      <w:r>
        <w:rPr>
          <w:rFonts w:ascii="Arial" w:cs="Arial" w:eastAsia="Arial" w:hAnsi="Arial"/>
          <w:i/>
          <w:iCs/>
          <w:color w:val="1F3864"/>
          <w:sz w:val="20"/>
          <w:szCs w:val="20"/>
        </w:rPr>
        <w:t xml:space="preserve">Revendication de fond : Les agents demandent une reconnaissance — qu'elle prenne la forme de la NBI de 10 points, d'une prime locale de sujétion, ou a minima d'un protocole écrit clair et d'une formation spécifique valorisée. La direction ne peut continuer à nier le caractère structurel de cette mission.</w:t>
      </w:r>
    </w:p>
    <w:p>
      <w:pPr>
        <w:spacing w:after="60" w:before="60"/>
      </w:pPr>
      <w:r>
        <w:t xml:space="preserve"/>
      </w:r>
    </w:p>
    <w:p>
      <w:pPr>
        <w:pStyle w:val="Heading2"/>
        <w:spacing w:after="150" w:before="300"/>
      </w:pPr>
      <w:r>
        <w:rPr>
          <w:rFonts w:ascii="Arial" w:cs="Arial" w:eastAsia="Arial" w:hAnsi="Arial"/>
          <w:b/>
          <w:bCs/>
          <w:color w:val="2E75B6"/>
          <w:sz w:val="24"/>
          <w:szCs w:val="24"/>
        </w:rPr>
        <w:t xml:space="preserve">2.4 Revendication n°4 — Équité inter-CHU (Angers, Tours)</w:t>
      </w:r>
    </w:p>
    <w:p>
      <w:pPr>
        <w:pStyle w:val="Heading3"/>
        <w:spacing w:after="100" w:before="200"/>
      </w:pPr>
      <w:r>
        <w:rPr>
          <w:rFonts w:ascii="Arial" w:cs="Arial" w:eastAsia="Arial" w:hAnsi="Arial"/>
          <w:b/>
          <w:bCs/>
          <w:color w:val="C9A62A"/>
          <w:sz w:val="22"/>
          <w:szCs w:val="22"/>
        </w:rPr>
        <w:t xml:space="preserve">A. L'argument d'égalité de traitement</w:t>
      </w:r>
    </w:p>
    <w:p>
      <w:pPr>
        <w:spacing w:after="80" w:before="80"/>
      </w:pPr>
      <w:r>
        <w:rPr>
          <w:rFonts w:ascii="Arial" w:cs="Arial" w:eastAsia="Arial" w:hAnsi="Arial"/>
          <w:sz w:val="20"/>
          <w:szCs w:val="20"/>
        </w:rPr>
        <w:t xml:space="preserve">Les CHU d'Angers et de Tours ont accordé la NBI et/ou l'IFR à leurs ambulanciers, dans le cadre de protocoles de sortie de crise conclus à la suite de mouvements sociaux similaires. Ces établissements sont soumis aux mêmes décrets nationaux de la Fonction Publique Hospitalière.</w:t>
      </w:r>
    </w:p>
    <w:p>
      <w:pPr>
        <w:spacing w:after="60" w:before="60"/>
      </w:pPr>
      <w:r>
        <w:t xml:space="preserve"/>
      </w:r>
    </w:p>
    <w:p>
      <w:pPr>
        <w:spacing w:after="80" w:before="80"/>
      </w:pPr>
      <w:r>
        <w:rPr>
          <w:rFonts w:ascii="Arial" w:cs="Arial" w:eastAsia="Arial" w:hAnsi="Arial"/>
          <w:b/>
          <w:bCs/>
          <w:sz w:val="20"/>
          <w:szCs w:val="20"/>
        </w:rPr>
        <w:t xml:space="preserve">Conséquence juridique : </w:t>
      </w:r>
      <w:r>
        <w:rPr>
          <w:rFonts w:ascii="Arial" w:cs="Arial" w:eastAsia="Arial" w:hAnsi="Arial"/>
          <w:sz w:val="20"/>
          <w:szCs w:val="20"/>
        </w:rPr>
        <w:t xml:space="preserve">Le refus du CHU de Toulouse ne repose pas sur une impossibilité légale mais sur un choix politique et budgétaire. La position de la DRH (« les textes l'interdisent ») est contredite par la pratique de ses pairs. Ce n'est pas une fatalité textuelle mais une décision de direction.</w:t>
      </w:r>
    </w:p>
    <w:p>
      <w:pPr>
        <w:pStyle w:val="Heading3"/>
        <w:spacing w:after="100" w:before="200"/>
      </w:pPr>
      <w:r>
        <w:rPr>
          <w:rFonts w:ascii="Arial" w:cs="Arial" w:eastAsia="Arial" w:hAnsi="Arial"/>
          <w:b/>
          <w:bCs/>
          <w:color w:val="C9A62A"/>
          <w:sz w:val="22"/>
          <w:szCs w:val="22"/>
        </w:rPr>
        <w:t xml:space="preserve">B. Les leviers utilisés par les autres CHU</w:t>
      </w:r>
    </w:p>
    <w:p>
      <w:pPr>
        <w:pStyle w:val="ListParagraph"/>
        <w:numPr>
          <w:ilvl w:val="0"/>
          <w:numId w:val="2"/>
        </w:numPr>
        <w:spacing w:after="60" w:before="60"/>
      </w:pPr>
      <w:r>
        <w:rPr>
          <w:rFonts w:ascii="Arial" w:cs="Arial" w:eastAsia="Arial" w:hAnsi="Arial"/>
          <w:sz w:val="20"/>
          <w:szCs w:val="20"/>
        </w:rPr>
        <w:t xml:space="preserve">Révision des fiches d'affectation avec part de temps formalisée dans les structures d'urgence (levier NBI + IFR)</w:t>
      </w:r>
    </w:p>
    <w:p>
      <w:pPr>
        <w:pStyle w:val="ListParagraph"/>
        <w:numPr>
          <w:ilvl w:val="0"/>
          <w:numId w:val="2"/>
        </w:numPr>
        <w:spacing w:after="60" w:before="60"/>
      </w:pPr>
      <w:r>
        <w:rPr>
          <w:rFonts w:ascii="Arial" w:cs="Arial" w:eastAsia="Arial" w:hAnsi="Arial"/>
          <w:sz w:val="20"/>
          <w:szCs w:val="20"/>
        </w:rPr>
        <w:t xml:space="preserve">Création de protocoles d'affectation partagée ou de mise à disposition vers les urgences/SAMU</w:t>
      </w:r>
    </w:p>
    <w:p>
      <w:pPr>
        <w:pStyle w:val="ListParagraph"/>
        <w:numPr>
          <w:ilvl w:val="0"/>
          <w:numId w:val="2"/>
        </w:numPr>
        <w:spacing w:after="60" w:before="60"/>
      </w:pPr>
      <w:r>
        <w:rPr>
          <w:rFonts w:ascii="Arial" w:cs="Arial" w:eastAsia="Arial" w:hAnsi="Arial"/>
          <w:sz w:val="20"/>
          <w:szCs w:val="20"/>
        </w:rPr>
        <w:t xml:space="preserve">Prime locale de sujétion spéciale votée en Conseil de Surveillance sur fonds propres (modèle Angers pour transport funéraire)</w:t>
      </w:r>
    </w:p>
    <w:p>
      <w:pPr>
        <w:spacing w:after="60" w:before="60"/>
      </w:pPr>
      <w:r>
        <w:t xml:space="preserve"/>
      </w:r>
    </w:p>
    <w:p>
      <w:pPr>
        <w:pBdr>
          <w:left w:val="single" w:color="2E75B6" w:sz="12" w:space="4"/>
        </w:pBdr>
        <w:shd w:fill="D6E4F0" w:val="clear"/>
        <w:spacing w:after="120" w:before="120"/>
        <w:ind w:left="720"/>
      </w:pPr>
      <w:r>
        <w:rPr>
          <w:rFonts w:ascii="Arial" w:cs="Arial" w:eastAsia="Arial" w:hAnsi="Arial"/>
          <w:i/>
          <w:iCs/>
          <w:color w:val="1F3864"/>
          <w:sz w:val="20"/>
          <w:szCs w:val="20"/>
        </w:rPr>
        <w:t xml:space="preserve">Formulation juridique recommandée pour la prochaine réunion : « Les CHU d'Angers et de Tours, soumis aux mêmes décrets nationaux, ont su trouver les leviers réglementaires pour reconnaître ces missions. Le refus de Toulouse n'est pas une contrainte légale : c'est un choix. Nous en demandons la révision. »</w:t>
      </w:r>
    </w:p>
    <w:p>
      <w:pPr>
        <w:spacing w:after="60" w:before="60"/>
      </w:pPr>
      <w:r>
        <w:t xml:space="preserve"/>
      </w:r>
    </w:p>
    <w:p>
      <w:pPr>
        <w:pStyle w:val="Heading1"/>
        <w:pBdr>
          <w:bottom w:val="single" w:color="2E75B6" w:sz="6" w:space="4"/>
        </w:pBdr>
        <w:spacing w:after="200" w:before="400"/>
      </w:pPr>
      <w:r>
        <w:rPr>
          <w:rFonts w:ascii="Arial" w:cs="Arial" w:eastAsia="Arial" w:hAnsi="Arial"/>
          <w:b/>
          <w:bCs/>
          <w:color w:val="1F3864"/>
          <w:sz w:val="28"/>
          <w:szCs w:val="28"/>
        </w:rPr>
        <w:t xml:space="preserve">III. TABLEAU DE SYNTHÈSE — PROBABILITÉS DE SUCCÈS</w:t>
      </w:r>
    </w:p>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1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Revendication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Probabilité</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Atout principal</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Risque / Frein DRH</w:t>
            </w:r>
          </w:p>
        </w:tc>
      </w:tr>
      <w:tr>
        <w:tc>
          <w:tcPr>
            <w:tcW w:type="dxa" w:w="2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Réactualisation fiche de poste A0055</w:t>
            </w:r>
          </w:p>
        </w:tc>
        <w:tc>
          <w:tcPr>
            <w:tcW w:type="dxa" w:w="16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95 % ✓</w:t>
            </w:r>
          </w:p>
        </w:tc>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Contradiction flagrante fiche 2020 / missions réelles 2025 + décret 2021-1825 catég. B</w:t>
            </w:r>
          </w:p>
        </w:tc>
        <w:tc>
          <w:tcPr>
            <w:tcW w:type="dxa" w:w="21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Aucun argument tenable pour la DRH</w:t>
            </w:r>
          </w:p>
        </w:tc>
      </w:tr>
      <w:tr>
        <w:tc>
          <w:tcPr>
            <w:tcW w:type="dxa" w:w="2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NBI 10 pts — transport de corps</w:t>
            </w:r>
          </w:p>
        </w:tc>
        <w:tc>
          <w:tcPr>
            <w:tcW w:type="dxa" w:w="1600"/>
            <w:tcBorders>
              <w:top w:val="single" w:color="AAAAAA" w:sz="1"/>
              <w:left w:val="single" w:color="AAAAAA" w:sz="1"/>
              <w:bottom w:val="single" w:color="AAAAAA" w:sz="1"/>
              <w:right w:val="single" w:color="AAAAAA"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75 % ✓</w:t>
            </w:r>
          </w:p>
        </w:tc>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1 045 transports nuit/WE en autonomie complète — 4,5 corps/jour — caractère structurel démontré</w:t>
            </w:r>
          </w:p>
        </w:tc>
        <w:tc>
          <w:tcPr>
            <w:tcW w:type="dxa" w:w="21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Critère d'exclusivité du décret NBI (transport seul, sans toilette/habillage) → redirection vers prime locale</w:t>
            </w:r>
          </w:p>
        </w:tc>
      </w:tr>
      <w:tr>
        <w:tc>
          <w:tcPr>
            <w:tcW w:type="dxa" w:w="2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IFR — Indemnité Forfaitaire de Risque</w:t>
            </w:r>
          </w:p>
        </w:tc>
        <w:tc>
          <w:tcPr>
            <w:tcW w:type="dxa" w:w="16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60 % →</w:t>
            </w:r>
          </w:p>
        </w:tc>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7 784 transports Urgences + Psy — Précédent CE n°467063 — exemples Angers/Tours</w:t>
            </w:r>
          </w:p>
        </w:tc>
        <w:tc>
          <w:tcPr>
            <w:tcW w:type="dxa" w:w="21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Interprétation spatiale (« dans » le service) par la DRH — Argument textuel</w:t>
            </w:r>
          </w:p>
        </w:tc>
      </w:tr>
      <w:tr>
        <w:tc>
          <w:tcPr>
            <w:tcW w:type="dxa" w:w="28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NBI 20 pts — SMUR/SAMU</w:t>
            </w:r>
          </w:p>
        </w:tc>
        <w:tc>
          <w:tcPr>
            <w:tcW w:type="dxa" w:w="16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40 % →</w:t>
            </w:r>
          </w:p>
        </w:tc>
        <w:tc>
          <w:tcPr>
            <w:tcW w:type="dxa" w:w="200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Prise en charge transports complexes due aux pénuries médicales</w:t>
            </w:r>
          </w:p>
        </w:tc>
        <w:tc>
          <w:tcPr>
            <w:tcW w:type="dxa" w:w="2160"/>
            <w:tcBorders>
              <w:top w:val="single" w:color="AAAAAA" w:sz="1"/>
              <w:left w:val="single" w:color="AAAAAA" w:sz="1"/>
              <w:bottom w:val="single" w:color="AAAAAA" w:sz="1"/>
              <w:right w:val="single" w:color="AAAAAA" w:sz="1"/>
            </w:tcBorders>
            <w:shd w:fill="F2F4F7" w:val="clear"/>
            <w:tcMar>
              <w:top w:type="dxa" w:w="80"/>
              <w:left w:type="dxa" w:w="120"/>
              <w:bottom w:type="dxa" w:w="80"/>
              <w:right w:type="dxa" w:w="120"/>
            </w:tcMar>
          </w:tcPr>
          <w:p>
            <w:r>
              <w:rPr>
                <w:rFonts w:ascii="Arial" w:cs="Arial" w:eastAsia="Arial" w:hAnsi="Arial"/>
                <w:b w:val="false"/>
                <w:bCs w:val="false"/>
                <w:color w:val="333333"/>
                <w:sz w:val="18"/>
                <w:szCs w:val="18"/>
              </w:rPr>
              <w:t xml:space="preserve">Condition d'affectation permanente au véhicule SMUR — texte très restrictif</w:t>
            </w:r>
          </w:p>
        </w:tc>
      </w:tr>
    </w:tbl>
    <w:p>
      <w:pPr>
        <w:spacing w:after="60" w:before="60"/>
      </w:pPr>
      <w:r>
        <w:t xml:space="preserve"/>
      </w:r>
    </w:p>
    <w:p>
      <w:pPr>
        <w:pStyle w:val="Heading1"/>
        <w:pBdr>
          <w:bottom w:val="single" w:color="2E75B6" w:sz="6" w:space="4"/>
        </w:pBdr>
        <w:spacing w:after="200" w:before="400"/>
      </w:pPr>
      <w:r>
        <w:rPr>
          <w:rFonts w:ascii="Arial" w:cs="Arial" w:eastAsia="Arial" w:hAnsi="Arial"/>
          <w:b/>
          <w:bCs/>
          <w:color w:val="1F3864"/>
          <w:sz w:val="28"/>
          <w:szCs w:val="28"/>
        </w:rPr>
        <w:t xml:space="preserve">IV. STRATÉGIE RECOMMANDÉE</w:t>
      </w:r>
    </w:p>
    <w:p>
      <w:pPr>
        <w:pStyle w:val="Heading2"/>
        <w:spacing w:after="150" w:before="300"/>
      </w:pPr>
      <w:r>
        <w:rPr>
          <w:rFonts w:ascii="Arial" w:cs="Arial" w:eastAsia="Arial" w:hAnsi="Arial"/>
          <w:b/>
          <w:bCs/>
          <w:color w:val="2E75B6"/>
          <w:sz w:val="24"/>
          <w:szCs w:val="24"/>
        </w:rPr>
        <w:t xml:space="preserve">4.1 Priorités immédiates — Sans contentieux</w:t>
      </w:r>
    </w:p>
    <w:p>
      <w:pPr>
        <w:pStyle w:val="ListParagraph"/>
        <w:numPr>
          <w:ilvl w:val="0"/>
          <w:numId w:val="2"/>
        </w:numPr>
        <w:spacing w:after="60" w:before="60"/>
      </w:pPr>
      <w:r>
        <w:rPr>
          <w:rFonts w:ascii="Arial" w:cs="Arial" w:eastAsia="Arial" w:hAnsi="Arial"/>
          <w:sz w:val="20"/>
          <w:szCs w:val="20"/>
        </w:rPr>
        <w:t xml:space="preserve">Exiger la validation officielle des données d'activité 2025 via extraction du logiciel de régulation des transports (pour que la direction ne puisse pas en contester l'authenticité en commission paritaire)</w:t>
      </w:r>
    </w:p>
    <w:p>
      <w:pPr>
        <w:pStyle w:val="ListParagraph"/>
        <w:numPr>
          <w:ilvl w:val="0"/>
          <w:numId w:val="2"/>
        </w:numPr>
        <w:spacing w:after="60" w:before="60"/>
      </w:pPr>
      <w:r>
        <w:rPr>
          <w:rFonts w:ascii="Arial" w:cs="Arial" w:eastAsia="Arial" w:hAnsi="Arial"/>
          <w:sz w:val="20"/>
          <w:szCs w:val="20"/>
        </w:rPr>
        <w:t xml:space="preserve">Demander la convocation d'une commission paritaire locale sur la fiche de poste (terrain le plus solide — 95 %)</w:t>
      </w:r>
    </w:p>
    <w:p>
      <w:pPr>
        <w:pStyle w:val="ListParagraph"/>
        <w:numPr>
          <w:ilvl w:val="0"/>
          <w:numId w:val="2"/>
        </w:numPr>
        <w:spacing w:after="60" w:before="60"/>
      </w:pPr>
      <w:r>
        <w:rPr>
          <w:rFonts w:ascii="Arial" w:cs="Arial" w:eastAsia="Arial" w:hAnsi="Arial"/>
          <w:sz w:val="20"/>
          <w:szCs w:val="20"/>
        </w:rPr>
        <w:t xml:space="preserve">Faire référencer officiellement les protocoles d'Angers et Tours dans le cahier de revendications</w:t>
      </w:r>
    </w:p>
    <w:p>
      <w:pPr>
        <w:pStyle w:val="ListParagraph"/>
        <w:numPr>
          <w:ilvl w:val="0"/>
          <w:numId w:val="2"/>
        </w:numPr>
        <w:spacing w:after="60" w:before="60"/>
      </w:pPr>
      <w:r>
        <w:rPr>
          <w:rFonts w:ascii="Arial" w:cs="Arial" w:eastAsia="Arial" w:hAnsi="Arial"/>
          <w:sz w:val="20"/>
          <w:szCs w:val="20"/>
        </w:rPr>
        <w:t xml:space="preserve">Déposer une demande écrite formelle de prime locale de sujétion spéciale pour transport funéraire nocturne (fonds propres, sans décret national — levier Conseil de Surveillance)</w:t>
      </w:r>
    </w:p>
    <w:p>
      <w:pPr>
        <w:spacing w:after="60" w:before="60"/>
      </w:pPr>
      <w:r>
        <w:t xml:space="preserve"/>
      </w:r>
    </w:p>
    <w:p>
      <w:pPr>
        <w:pStyle w:val="Heading2"/>
        <w:spacing w:after="150" w:before="300"/>
      </w:pPr>
      <w:r>
        <w:rPr>
          <w:rFonts w:ascii="Arial" w:cs="Arial" w:eastAsia="Arial" w:hAnsi="Arial"/>
          <w:b/>
          <w:bCs/>
          <w:color w:val="2E75B6"/>
          <w:sz w:val="24"/>
          <w:szCs w:val="24"/>
        </w:rPr>
        <w:t xml:space="preserve">4.2 Si la négociation échoue — Voies de recours</w:t>
      </w:r>
    </w:p>
    <w:p>
      <w:pPr>
        <w:pStyle w:val="ListParagraph"/>
        <w:numPr>
          <w:ilvl w:val="0"/>
          <w:numId w:val="2"/>
        </w:numPr>
        <w:spacing w:after="60" w:before="60"/>
      </w:pPr>
      <w:r>
        <w:rPr>
          <w:rFonts w:ascii="Arial" w:cs="Arial" w:eastAsia="Arial" w:hAnsi="Arial"/>
          <w:sz w:val="20"/>
          <w:szCs w:val="20"/>
        </w:rPr>
        <w:t xml:space="preserve">Saisine de l'Inspection du Travail pour non-conformité de la fiche de poste au regard des missions réelles</w:t>
      </w:r>
    </w:p>
    <w:p>
      <w:pPr>
        <w:pStyle w:val="ListParagraph"/>
        <w:numPr>
          <w:ilvl w:val="0"/>
          <w:numId w:val="2"/>
        </w:numPr>
        <w:spacing w:after="60" w:before="60"/>
      </w:pPr>
      <w:r>
        <w:rPr>
          <w:rFonts w:ascii="Arial" w:cs="Arial" w:eastAsia="Arial" w:hAnsi="Arial"/>
          <w:sz w:val="20"/>
          <w:szCs w:val="20"/>
        </w:rPr>
        <w:t xml:space="preserve">Recours contentieux devant le Tribunal Administratif de Toulouse sur la fiche de poste (délai de prescription : 2 mois après décision explicite de refus)</w:t>
      </w:r>
    </w:p>
    <w:p>
      <w:pPr>
        <w:pStyle w:val="ListParagraph"/>
        <w:numPr>
          <w:ilvl w:val="0"/>
          <w:numId w:val="2"/>
        </w:numPr>
        <w:spacing w:after="60" w:before="60"/>
      </w:pPr>
      <w:r>
        <w:rPr>
          <w:rFonts w:ascii="Arial" w:cs="Arial" w:eastAsia="Arial" w:hAnsi="Arial"/>
          <w:sz w:val="20"/>
          <w:szCs w:val="20"/>
        </w:rPr>
        <w:t xml:space="preserve">Mémoire en excès de pouvoir sur le refus de NBI si la direction refuse par décision écrite formelle</w:t>
      </w:r>
    </w:p>
    <w:p>
      <w:pPr>
        <w:pStyle w:val="ListParagraph"/>
        <w:numPr>
          <w:ilvl w:val="0"/>
          <w:numId w:val="2"/>
        </w:numPr>
        <w:spacing w:after="60" w:before="60"/>
      </w:pPr>
      <w:r>
        <w:rPr>
          <w:rFonts w:ascii="Arial" w:cs="Arial" w:eastAsia="Arial" w:hAnsi="Arial"/>
          <w:sz w:val="20"/>
          <w:szCs w:val="20"/>
        </w:rPr>
        <w:t xml:space="preserve">Saisine du Défenseur des Droits pour rupture d'égalité de traitement inter-CHU</w:t>
      </w:r>
    </w:p>
    <w:p>
      <w:pPr>
        <w:spacing w:after="60" w:before="60"/>
      </w:pPr>
      <w:r>
        <w:t xml:space="preserve"/>
      </w:r>
    </w:p>
    <w:p>
      <w:pPr>
        <w:pStyle w:val="Heading2"/>
        <w:spacing w:after="150" w:before="300"/>
      </w:pPr>
      <w:r>
        <w:rPr>
          <w:rFonts w:ascii="Arial" w:cs="Arial" w:eastAsia="Arial" w:hAnsi="Arial"/>
          <w:b/>
          <w:bCs/>
          <w:color w:val="2E75B6"/>
          <w:sz w:val="24"/>
          <w:szCs w:val="24"/>
        </w:rPr>
        <w:t xml:space="preserve">4.3 Point de vigilance — Risques disciplinaires</w:t>
      </w:r>
    </w:p>
    <w:p>
      <w:pPr>
        <w:pBdr>
          <w:left w:val="single" w:color="C0392B" w:sz="16" w:space="4"/>
        </w:pBdr>
        <w:shd w:fill="FDECEA" w:val="clear"/>
        <w:spacing w:after="120" w:before="120"/>
        <w:ind w:left="300"/>
      </w:pPr>
      <w:r>
        <w:rPr>
          <w:rFonts w:ascii="Arial" w:cs="Arial" w:eastAsia="Arial" w:hAnsi="Arial"/>
          <w:b/>
          <w:bCs/>
          <w:color w:val="C0392B"/>
          <w:sz w:val="20"/>
          <w:szCs w:val="20"/>
        </w:rPr>
        <w:t xml:space="preserve">⚠ ATTENTION : </w:t>
      </w:r>
      <w:r>
        <w:rPr>
          <w:rFonts w:ascii="Arial" w:cs="Arial" w:eastAsia="Arial" w:hAnsi="Arial"/>
          <w:color w:val="C0392B"/>
          <w:sz w:val="20"/>
          <w:szCs w:val="20"/>
        </w:rPr>
        <w:t xml:space="preserve">La direction a annoncé dès le 28 mai 2026 l'envoi de courriers de mise en garde pour toute entrave au service minimum. Les comportements constatés (pneus dégonflés, téléphones déchargés) peuvent fonder des procédures disciplinaires. Les agents assignés ont obligation d'assurer le service minimum, quand bien même ils exercent leur droit de grève. Toute entrave supplémentaire fragilise la crédibilité du mouvement devant un juge et renforce la DRH.</w:t>
      </w:r>
    </w:p>
    <w:p>
      <w:pPr>
        <w:spacing w:after="60" w:before="60"/>
      </w:pPr>
      <w:r>
        <w:t xml:space="preserve"/>
      </w:r>
    </w:p>
    <w:p>
      <w:pPr>
        <w:pStyle w:val="Heading1"/>
        <w:pBdr>
          <w:bottom w:val="single" w:color="2E75B6" w:sz="6" w:space="4"/>
        </w:pBdr>
        <w:spacing w:after="200" w:before="400"/>
      </w:pPr>
      <w:r>
        <w:rPr>
          <w:rFonts w:ascii="Arial" w:cs="Arial" w:eastAsia="Arial" w:hAnsi="Arial"/>
          <w:b/>
          <w:bCs/>
          <w:color w:val="1F3864"/>
          <w:sz w:val="28"/>
          <w:szCs w:val="28"/>
        </w:rPr>
        <w:t xml:space="preserve">V. CONCLUSION</w:t>
      </w:r>
    </w:p>
    <w:p>
      <w:pPr>
        <w:spacing w:after="80" w:before="80"/>
      </w:pPr>
      <w:r>
        <w:rPr>
          <w:rFonts w:ascii="Arial" w:cs="Arial" w:eastAsia="Arial" w:hAnsi="Arial"/>
          <w:sz w:val="20"/>
          <w:szCs w:val="20"/>
        </w:rPr>
        <w:t xml:space="preserve">Le dossier des ambulanciers grévistes du CHU de Toulouse est solide. Ses points forts sont :</w:t>
      </w:r>
    </w:p>
    <w:p>
      <w:pPr>
        <w:spacing w:after="60" w:before="60"/>
      </w:pPr>
      <w:r>
        <w:t xml:space="preserve"/>
      </w:r>
    </w:p>
    <w:p>
      <w:pPr>
        <w:pStyle w:val="ListParagraph"/>
        <w:numPr>
          <w:ilvl w:val="0"/>
          <w:numId w:val="2"/>
        </w:numPr>
        <w:spacing w:after="60" w:before="60"/>
      </w:pPr>
      <w:r>
        <w:rPr>
          <w:rFonts w:ascii="Arial" w:cs="Arial" w:eastAsia="Arial" w:hAnsi="Arial"/>
          <w:sz w:val="20"/>
          <w:szCs w:val="20"/>
        </w:rPr>
        <w:t xml:space="preserve">Des données chiffrées massives (56 843 transports) qui détruisent l'argument de l'activité « occasionnelle »</w:t>
      </w:r>
    </w:p>
    <w:p>
      <w:pPr>
        <w:pStyle w:val="ListParagraph"/>
        <w:numPr>
          <w:ilvl w:val="0"/>
          <w:numId w:val="2"/>
        </w:numPr>
        <w:spacing w:after="60" w:before="60"/>
      </w:pPr>
      <w:r>
        <w:rPr>
          <w:rFonts w:ascii="Arial" w:cs="Arial" w:eastAsia="Arial" w:hAnsi="Arial"/>
          <w:sz w:val="20"/>
          <w:szCs w:val="20"/>
        </w:rPr>
        <w:t xml:space="preserve">Une fiche de poste de 2020 en décalage patent avec les missions réelles de 2025 et avec le décret de reclassement de 2021</w:t>
      </w:r>
    </w:p>
    <w:p>
      <w:pPr>
        <w:pStyle w:val="ListParagraph"/>
        <w:numPr>
          <w:ilvl w:val="0"/>
          <w:numId w:val="2"/>
        </w:numPr>
        <w:spacing w:after="60" w:before="60"/>
      </w:pPr>
      <w:r>
        <w:rPr>
          <w:rFonts w:ascii="Arial" w:cs="Arial" w:eastAsia="Arial" w:hAnsi="Arial"/>
          <w:sz w:val="20"/>
          <w:szCs w:val="20"/>
        </w:rPr>
        <w:t xml:space="preserve">Des précédents inter-CHU (Angers, Tours) qui prouvent que le droit national n'interdit pas ce que la direction refuse</w:t>
      </w:r>
    </w:p>
    <w:p>
      <w:pPr>
        <w:pStyle w:val="ListParagraph"/>
        <w:numPr>
          <w:ilvl w:val="0"/>
          <w:numId w:val="2"/>
        </w:numPr>
        <w:spacing w:after="60" w:before="60"/>
      </w:pPr>
      <w:r>
        <w:rPr>
          <w:rFonts w:ascii="Arial" w:cs="Arial" w:eastAsia="Arial" w:hAnsi="Arial"/>
          <w:sz w:val="20"/>
          <w:szCs w:val="20"/>
        </w:rPr>
        <w:t xml:space="preserve">Un règlement intérieur mortuaire du CHU lui-même qui reconnaît la mission de transport de corps aux ambulanciers</w:t>
      </w:r>
    </w:p>
    <w:p>
      <w:pPr>
        <w:spacing w:after="60" w:before="60"/>
      </w:pPr>
      <w:r>
        <w:t xml:space="preserve"/>
      </w:r>
    </w:p>
    <w:p>
      <w:pPr>
        <w:pBdr>
          <w:left w:val="single" w:color="2E75B6" w:sz="12" w:space="4"/>
        </w:pBdr>
        <w:shd w:fill="D6E4F0" w:val="clear"/>
        <w:spacing w:after="120" w:before="120"/>
        <w:ind w:left="720"/>
      </w:pPr>
      <w:r>
        <w:rPr>
          <w:rFonts w:ascii="Arial" w:cs="Arial" w:eastAsia="Arial" w:hAnsi="Arial"/>
          <w:i/>
          <w:iCs/>
          <w:color w:val="1F3864"/>
          <w:sz w:val="20"/>
          <w:szCs w:val="20"/>
        </w:rPr>
        <w:t xml:space="preserve">Le rapport de force juridique penche du côté des agents sur au moins deux revendications (fiche de poste — 95 %, NBI funéraire — 75 %). La stratégie de la direction repose sur une lecture formaliste des textes que les données de terrain contredisent. Il convient de maintenir la pression par la voie syndicale tout en préparant rigoureusement les pièces pour un éventuel contentieux administratif.</w:t>
      </w:r>
    </w:p>
    <w:p>
      <w:pPr>
        <w:spacing w:after="60" w:before="60"/>
      </w:pPr>
      <w:r>
        <w:t xml:space="preserve"/>
      </w:r>
    </w:p>
    <w:p>
      <w:pPr>
        <w:spacing w:after="80" w:before="300"/>
        <w:jc w:val="right"/>
      </w:pPr>
      <w:r>
        <w:rPr>
          <w:rFonts w:ascii="Arial" w:cs="Arial" w:eastAsia="Arial" w:hAnsi="Arial"/>
          <w:i/>
          <w:iCs/>
          <w:color w:val="777777"/>
          <w:sz w:val="18"/>
          <w:szCs w:val="18"/>
        </w:rPr>
        <w:t xml:space="preserve">Synthèse établie le 3 juin 2026</w:t>
      </w:r>
    </w:p>
    <w:p>
      <w:pPr>
        <w:spacing w:after="80" w:before="0"/>
        <w:jc w:val="right"/>
      </w:pPr>
      <w:r>
        <w:rPr>
          <w:rFonts w:ascii="Arial" w:cs="Arial" w:eastAsia="Arial" w:hAnsi="Arial"/>
          <w:i/>
          <w:iCs/>
          <w:color w:val="777777"/>
          <w:sz w:val="18"/>
          <w:szCs w:val="18"/>
        </w:rPr>
        <w:t xml:space="preserve">À usage syndical et procédural exclusif</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Document confidentiel — Usage syndical et procédural —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3864"/>
        <w:sz w:val="16"/>
        <w:szCs w:val="16"/>
      </w:rPr>
      <w:t xml:space="preserve">SYNTHÈSE JURIDIQUE — GRÈVE AMBULANCIERS CHU TOULOUSE</w:t>
    </w:r>
    <w:r>
      <w:rPr>
        <w:rFonts w:ascii="Arial" w:cs="Arial" w:eastAsia="Arial" w:hAnsi="Arial"/>
        <w:color w:val="888888"/>
        <w:sz w:val="16"/>
        <w:szCs w:val="16"/>
      </w:rPr>
      <w:t xml:space="preserve">   |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C9A6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2026-06-03T20:36:31.035Z</dcterms:created>
  <dcterms:modified xsi:type="dcterms:W3CDTF">2026-06-03T20:36:31.036Z</dcterms:modified>
</cp:coreProperties>
</file>

<file path=docProps/custom.xml><?xml version="1.0" encoding="utf-8"?>
<Properties xmlns="http://schemas.openxmlformats.org/officeDocument/2006/custom-properties" xmlns:vt="http://schemas.openxmlformats.org/officeDocument/2006/docPropsVTypes"/>
</file>