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One Price Across All Channels for FX Cash</w:t>
      </w:r>
    </w:p>
    <w:p w:rsidR="00000000" w:rsidDel="00000000" w:rsidP="00000000" w:rsidRDefault="00000000" w:rsidRPr="00000000" w14:paraId="00000002">
      <w:pPr>
        <w:pStyle w:val="Heading1"/>
        <w:rPr/>
      </w:pPr>
      <w:r w:rsidDel="00000000" w:rsidR="00000000" w:rsidRPr="00000000">
        <w:rPr>
          <w:rtl w:val="0"/>
        </w:rPr>
        <w:t xml:space="preserve">Background</w:t>
      </w:r>
    </w:p>
    <w:p w:rsidR="00000000" w:rsidDel="00000000" w:rsidP="00000000" w:rsidRDefault="00000000" w:rsidRPr="00000000" w14:paraId="00000003">
      <w:pPr>
        <w:rPr/>
      </w:pPr>
      <w:r w:rsidDel="00000000" w:rsidR="00000000" w:rsidRPr="00000000">
        <w:rPr>
          <w:rtl w:val="0"/>
        </w:rPr>
        <w:t xml:space="preserve">Most major UK travel money providers price online and in branch differently. The reason is cost: branch cash needs staff time, secure transport, and insurance. Also,  a study of large US retail chains found that keeping nearly uniform prices across stores carries a measurable cost (DellaVigna and Gentzkow, QJE 2019). When JCPenney moved to a single everyday price nationwide in 2012 without testing, sales fell roughly 25% over the following year.</w:t>
      </w:r>
    </w:p>
    <w:p w:rsidR="00000000" w:rsidDel="00000000" w:rsidP="00000000" w:rsidRDefault="00000000" w:rsidRPr="00000000" w14:paraId="00000004">
      <w:pPr>
        <w:pStyle w:val="Heading1"/>
        <w:rPr/>
      </w:pPr>
      <w:r w:rsidDel="00000000" w:rsidR="00000000" w:rsidRPr="00000000">
        <w:rPr>
          <w:rtl w:val="0"/>
        </w:rPr>
        <w:t xml:space="preserve">Recommendation</w:t>
      </w:r>
    </w:p>
    <w:p w:rsidR="00000000" w:rsidDel="00000000" w:rsidP="00000000" w:rsidRDefault="00000000" w:rsidRPr="00000000" w14:paraId="00000005">
      <w:pPr>
        <w:rPr/>
      </w:pPr>
      <w:r w:rsidDel="00000000" w:rsidR="00000000" w:rsidRPr="00000000">
        <w:rPr>
          <w:rtl w:val="0"/>
        </w:rPr>
        <w:t xml:space="preserve">A full move to one omnichannel price is almost irreversible: once we advertise one fair rate, going back would be a damaging public story. Its effects would also stay hidden, because after a national rollout, we could no longer see what would have happened without the move. We therefore recommend moving ahead step by step, testing before each step. </w:t>
      </w:r>
    </w:p>
    <w:p w:rsidR="00000000" w:rsidDel="00000000" w:rsidP="00000000" w:rsidRDefault="00000000" w:rsidRPr="00000000" w14:paraId="00000006">
      <w:pPr>
        <w:pStyle w:val="Heading1"/>
        <w:rPr/>
      </w:pPr>
      <w:r w:rsidDel="00000000" w:rsidR="00000000" w:rsidRPr="00000000">
        <w:rPr>
          <w:rtl w:val="0"/>
        </w:rPr>
        <w:t xml:space="preserve">Approach</w:t>
      </w:r>
    </w:p>
    <w:p w:rsidR="00000000" w:rsidDel="00000000" w:rsidP="00000000" w:rsidRDefault="00000000" w:rsidRPr="00000000" w14:paraId="00000007">
      <w:pPr>
        <w:rPr/>
      </w:pPr>
      <w:r w:rsidDel="00000000" w:rsidR="00000000" w:rsidRPr="00000000">
        <w:rPr>
          <w:rtl w:val="0"/>
        </w:rPr>
        <w:t xml:space="preserve">In terms of data, what we need is around three years of transactions with the margin on each, Finance's costs model for every channel with the method behind it, and competitor rates. Variable cost differs most between channels and sets the floor. Branch cost can be very variable, so we use a range rather than one figure. From the same data we estimate price sensitivity for each channel and currency, using a model of past rate changes that separates our effect from season, market swings and competitor moves. We also track competitor rates per currency: the best online providers and high-street prices. Any new rate must stay inside that range, and the tracking tells us whether a result came from our change or a competitor's move.</w:t>
      </w:r>
    </w:p>
    <w:p w:rsidR="00000000" w:rsidDel="00000000" w:rsidP="00000000" w:rsidRDefault="00000000" w:rsidRPr="00000000" w14:paraId="00000008">
      <w:pPr>
        <w:rPr/>
      </w:pPr>
      <w:r w:rsidDel="00000000" w:rsidR="00000000" w:rsidRPr="00000000">
        <w:rPr>
          <w:rtl w:val="0"/>
        </w:rPr>
        <w:t xml:space="preserve">We test by region: change prices in some regions, leave similar ones untouched, and compare. Below are the recommended steps: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the test.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simulation rehearses the test on old transaction data: it adds the expected lift and checks the test would notice it. If it misses too often, we add regions or weeks.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rate across regions.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Remove regional price differences in a few pairs of regions with similar past rates and volumes, far enough apart that customers do not cross.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Narrow the gap between online and branch.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Change both channels in a region at once and judge its total profit. A loss means we adjust the rate or keep the gap.</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Simulate the national rollout.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second simulation turns the test results into a range of profit/loss outcomes with uncertainty intervals.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Governance and final </w:t>
      </w:r>
      <w:r w:rsidDel="00000000" w:rsidR="00000000" w:rsidRPr="00000000">
        <w:rPr>
          <w:b w:val="1"/>
          <w:bCs w:val="1"/>
          <w:rtl w:val="0"/>
        </w:rPr>
        <w:t xml:space="preserve">sign-off</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independent team checks the models and results (model risk management) before any national move.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07qGOsDuDf77ClNDgeZgHvgKqQ==">CgMxLjA4AHIhMW5obHB5RlQ1SHd3UVQ2UVk3Vk9TWC01ZWhocE9fS29B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