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ИП</w:t>
      </w:r>
      <w:r>
        <w:t xml:space="preserve"> </w:t>
      </w:r>
      <w:r>
        <w:t xml:space="preserve">2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DVMA, изучить основные возможности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-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- Исполнение (внедрение) команд: Выполнение команд уровня операционной системы.</w:t>
      </w:r>
      <w:r>
        <w:t xml:space="preserve"> </w:t>
      </w:r>
      <w:r>
        <w:t xml:space="preserve">- 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- 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-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- 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-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- 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-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-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-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-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установщик командой: wget https://raw.githubusercontent.com/IamCarron/DVWA-Script/main/Install-DVWA.sh</w:t>
      </w:r>
      <w:r>
        <w:t xml:space="preserve"> </w:t>
      </w:r>
      <w:r>
        <w:t xml:space="preserve">Выдаём верные права: chmod +x Install-DVWA.sh</w:t>
      </w:r>
      <w:r>
        <w:t xml:space="preserve"> </w:t>
      </w:r>
      <w:r>
        <w:t xml:space="preserve">Запускаем устанощик и ждём заверещения.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25" w:name="fig:001"/>
      <w:r>
        <w:drawing>
          <wp:inline>
            <wp:extent cx="3733800" cy="3018817"/>
            <wp:effectExtent b="0" l="0" r="0" t="0"/>
            <wp:docPr descr="Установка DVWA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3733800" cy="3003400"/>
            <wp:effectExtent b="0" l="0" r="0" t="0"/>
            <wp:docPr descr="Процесс установки DVWA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После этого на локальном хосту через браузер мы можем посмотреть кго работу, протестировать функции.(рис.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3" w:name="fig:003"/>
      <w:r>
        <w:drawing>
          <wp:inline>
            <wp:extent cx="3733800" cy="2341385"/>
            <wp:effectExtent b="0" l="0" r="0" t="0"/>
            <wp:docPr descr="Веб-интерфейс DVWA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выполения работы мы разобрались, что такое DVWA и для чего он служит.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ИП 2 этап</dc:title>
  <dc:creator>Хрусталев Влад Николаевич</dc:creator>
  <dc:language>ru-RU</dc:language>
  <cp:keywords/>
  <dcterms:created xsi:type="dcterms:W3CDTF">2024-03-16T20:40:25Z</dcterms:created>
  <dcterms:modified xsi:type="dcterms:W3CDTF">2024-03-16T20:40:25Z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Установка DVWA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