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Megh One AI — Context Window &amp; LangGraph: Benchmarks and Efficiency</w:t>
      </w:r>
    </w:p>
    <w:p>
      <w:pPr>
        <w:pBdr>
          <w:bottom w:val="single" w:color="1F3864" w:sz="8" w:space="1"/>
        </w:pBd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Measured data, 3 Oct 2026. Sources: live context suite (43 checks, real gateway + megh_db), offline A/B benchmark (60 conversations per scenario per path, models/DB stubbed, every pipeline stage real), repo test records (D-022..D-032).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What is compared. </w:t>
      </w:r>
      <w:r>
        <w:rPr>
          <w:rFonts w:ascii="Calibri" w:cs="Calibri" w:eastAsia="Calibri" w:hAnsi="Calibri"/>
          <w:sz w:val="16"/>
          <w:szCs w:val="16"/>
        </w:rPr>
        <w:t xml:space="preserve">(1) Old context (legacy) → the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context window</w:t>
      </w:r>
      <w:r>
        <w:rPr>
          <w:rFonts w:ascii="Calibri" w:cs="Calibri" w:eastAsia="Calibri" w:hAnsi="Calibri"/>
          <w:sz w:val="16"/>
          <w:szCs w:val="16"/>
        </w:rPr>
        <w:t xml:space="preserve"> (structured state in Postgres, field-level merge plan, provenance-checked rewrite, token budgets). (2) Sequential orchestrator → </w:t>
      </w:r>
      <w:r>
        <w:rPr>
          <w:rFonts w:ascii="Calibri" w:cs="Calibri" w:eastAsia="Calibri" w:hAnsi="Calibri"/>
          <w:b/>
          <w:bCs/>
          <w:sz w:val="16"/>
          <w:szCs w:val="16"/>
        </w:rPr>
        <w:t xml:space="preserve">LangGraph</w:t>
      </w:r>
      <w:r>
        <w:rPr>
          <w:rFonts w:ascii="Calibri" w:cs="Calibri" w:eastAsia="Calibri" w:hAnsi="Calibri"/>
          <w:sz w:val="16"/>
          <w:szCs w:val="16"/>
        </w:rPr>
        <w:t xml:space="preserve"> (21-node graph, checkpointed pause/resume). LangGraph runs the same context window unchanged; it changes how steps run, not what they decide.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1. Context window: legacy context vs current context window (live, same 43-check suite)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2200"/>
        <w:gridCol w:w="2266"/>
      </w:tblGrid>
      <w:tr>
        <w:tc>
          <w:tcPr>
            <w:tcW w:type="dxa" w:w="3800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Metric</w:t>
            </w:r>
          </w:p>
        </w:tc>
        <w:tc>
          <w:tcPr>
            <w:tcW w:type="dxa" w:w="2200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Legacy context (26 Sep)</w:t>
            </w:r>
          </w:p>
        </w:tc>
        <w:tc>
          <w:tcPr>
            <w:tcW w:type="dxa" w:w="2200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Context window (3 Oct)</w:t>
            </w:r>
          </w:p>
        </w:tc>
        <w:tc>
          <w:tcPr>
            <w:tcW w:type="dxa" w:w="2266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Change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Context checks passed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39 / 43 (90.7%)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 / 43 (100%)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+4 checks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Follow-up resolution accuracy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25 / 29 (86%)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29 / 29 (100%)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+14 pts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SQL success on data turns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18 / 18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20 / 20</w:t>
            </w:r>
          </w:p>
        </w:tc>
        <w:tc>
          <w:tcPr>
            <w:tcW w:type="dxa" w:w="2266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same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Rewrite prompt tokens (mean / max)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236 / 279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219 / 246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−7% / −12%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Classifier input tokens per call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925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863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−7%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Turn latency p50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2,155 ms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1,861 ms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−14%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Turn latency p95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3,297 ms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4,999 ms</w:t>
            </w:r>
          </w:p>
        </w:tc>
        <w:tc>
          <w:tcPr>
            <w:tcW w:type="dxa" w:w="2266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+52% *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State sync to Postgres (in / out, p50)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67 / 68 ms</w:t>
            </w:r>
          </w:p>
        </w:tc>
        <w:tc>
          <w:tcPr>
            <w:tcW w:type="dxa" w:w="2266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cross-worker memory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4"/>
          <w:szCs w:val="14"/>
        </w:rPr>
        <w:t xml:space="preserve">* The 3 Oct run executed more and heavier SQL turns (25 SQL calls vs 18; 12.5k vs 10.2k schema tokens per call, from new few-shots), not context cost. Code fixes between the two dates also contribute.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2. LangGraph vs sequential orchestrator (same context window, same stages)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2200"/>
        <w:gridCol w:w="2266"/>
      </w:tblGrid>
      <w:tr>
        <w:tc>
          <w:tcPr>
            <w:tcW w:type="dxa" w:w="3800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Metric</w:t>
            </w:r>
          </w:p>
        </w:tc>
        <w:tc>
          <w:tcPr>
            <w:tcW w:type="dxa" w:w="2200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Sequential</w:t>
            </w:r>
          </w:p>
        </w:tc>
        <w:tc>
          <w:tcPr>
            <w:tcW w:type="dxa" w:w="2200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LangGraph</w:t>
            </w:r>
          </w:p>
        </w:tc>
        <w:tc>
          <w:tcPr>
            <w:tcW w:type="dxa" w:w="2266"/>
            <w:shd w:fill="D9E2F3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Difference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Model / DB calls (3,000-call A/B)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baseline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identical, 0 input diffs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Tokens per live data turn (in / out)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~21,700 / 181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~21,700 / 181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TTFT (no streaming: = full turn)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= turn latency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= turn latency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Accuracy: context / 6-scheme / OFF-009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43/43 · 36/36 · 49/49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43/43 · 36/36 · 49/49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identical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Orchestration p50: data answer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30.5 ms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52.9 ms</w:t>
            </w:r>
          </w:p>
        </w:tc>
        <w:tc>
          <w:tcPr>
            <w:tcW w:type="dxa" w:w="2266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+22 ms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Orchestration p50: follow-up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128.3 ms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156.8 ms</w:t>
            </w:r>
          </w:p>
        </w:tc>
        <w:tc>
          <w:tcPr>
            <w:tcW w:type="dxa" w:w="2266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+29 ms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Orchestration p50: pause / resume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4.7 / 5.9 ms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19.8 / 31.6 ms</w:t>
            </w:r>
          </w:p>
        </w:tc>
        <w:tc>
          <w:tcPr>
            <w:tcW w:type="dxa" w:w="2266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+15 / +26 ms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Orchestration p50: RAG / SQL repair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13.0 / 31.8 ms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26.8 / 56.3 ms</w:t>
            </w:r>
          </w:p>
        </w:tc>
        <w:tc>
          <w:tcPr>
            <w:tcW w:type="dxa" w:w="2266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+14 / +25 ms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Live turn p50 (projected for graph)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1,861 ms</w:t>
            </w:r>
          </w:p>
        </w:tc>
        <w:tc>
          <w:tcPr>
            <w:tcW w:type="dxa" w:w="2200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~1,885 ms</w:t>
            </w:r>
          </w:p>
        </w:tc>
        <w:tc>
          <w:tcPr>
            <w:tcW w:type="dxa" w:w="2266"/>
            <w:shd w:fill="FCE4D6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+1.3%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Peak memory per turn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5–503 KiB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71–565 KiB</w:t>
            </w:r>
          </w:p>
        </w:tc>
        <w:tc>
          <w:tcPr>
            <w:tcW w:type="dxa" w:w="2266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+60–130 KiB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Cold start (once per worker)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47–62 ms</w:t>
            </w:r>
          </w:p>
        </w:tc>
        <w:tc>
          <w:tcPr>
            <w:tcW w:type="dxa" w:w="2266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one-off</w:t>
            </w:r>
          </w:p>
        </w:tc>
      </w:tr>
      <w:tr>
        <w:tc>
          <w:tcPr>
            <w:tcW w:type="dxa" w:w="3800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Diagnostics per request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decision logs only</w:t>
            </w:r>
          </w:p>
        </w:tc>
        <w:tc>
          <w:tcPr>
            <w:tcW w:type="dxa" w:w="2200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node path + per-node ms + outcome</w:t>
            </w:r>
          </w:p>
        </w:tc>
        <w:tc>
          <w:tcPr>
            <w:tcW w:type="dxa" w:w="2266"/>
            <w:shd w:fill="E2EFDA" w:color="auto" w:val="clear"/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+~14 log lines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4"/>
          <w:szCs w:val="14"/>
        </w:rPr>
        <w:t xml:space="preserve">Overhead measured with INFO logging (production setting); about half of it is per-node logging. The 2 Oct doc figure (+44 to +121 ms, 3–7%) is the conservative upper bound.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3. What this means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Context window = the accuracy win. </w:t>
      </w:r>
      <w:r>
        <w:rPr>
          <w:rFonts w:ascii="Calibri" w:cs="Calibri" w:eastAsia="Calibri" w:hAnsi="Calibri"/>
          <w:sz w:val="16"/>
          <w:szCs w:val="16"/>
        </w:rPr>
        <w:t xml:space="preserve">Follow-ups went from 86% to 100% correct, all 43 context checks pass, and the rewrite prompt uses fewer tokens because it receives structured filters, not raw chat history.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LangGraph = the operability win, at ~zero cost. </w:t>
      </w:r>
      <w:r>
        <w:rPr>
          <w:rFonts w:ascii="Calibri" w:cs="Calibri" w:eastAsia="Calibri" w:hAnsi="Calibri"/>
          <w:sz w:val="16"/>
          <w:szCs w:val="16"/>
        </w:rPr>
        <w:t xml:space="preserve">Same tokens, same model calls, same answers. It adds ~1% latency in exchange for a node-by-node trace, checkpointed pause/resume, a visible SQL repair loop, PII-free logs, and canary rollout with one-flag rollback.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They are complementary, not competitors. </w:t>
      </w:r>
      <w:r>
        <w:rPr>
          <w:rFonts w:ascii="Calibri" w:cs="Calibri" w:eastAsia="Calibri" w:hAnsi="Calibri"/>
          <w:sz w:val="16"/>
          <w:szCs w:val="16"/>
        </w:rPr>
        <w:t xml:space="preserve">LangGraph executes the context window as nodes (context → followup → data_context → context_update); there is one merge policy, not two.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Not yet verified: </w:t>
      </w:r>
      <w:r>
        <w:rPr>
          <w:rFonts w:ascii="Calibri" w:cs="Calibri" w:eastAsia="Calibri" w:hAnsi="Calibri"/>
          <w:sz w:val="16"/>
          <w:szCs w:val="16"/>
        </w:rPr>
        <w:t xml:space="preserve">live latency on the LangGraph path (VPN down today; canary gate G5) and the Postgres checkpointer (KI-185). The flag stays off by default.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2026-10-03T07:40:18.113Z</dcterms:created>
  <dcterms:modified xsi:type="dcterms:W3CDTF">2026-10-03T07:40:18.114Z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