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4163A" w14:textId="77777777" w:rsidR="00A3376E" w:rsidRDefault="001A20C6">
      <w:pPr>
        <w:pStyle w:val="Body"/>
        <w:rPr>
          <w:rFonts w:ascii="Times New Roman" w:eastAsia="Times New Roman" w:hAnsi="Times New Roman" w:cs="Times New Roman"/>
          <w:b/>
          <w:bCs/>
          <w:sz w:val="24"/>
          <w:szCs w:val="24"/>
        </w:rPr>
      </w:pPr>
      <w:r>
        <w:rPr>
          <w:rFonts w:ascii="Times New Roman" w:hAnsi="Times New Roman"/>
          <w:b/>
          <w:bCs/>
          <w:sz w:val="24"/>
          <w:szCs w:val="24"/>
        </w:rPr>
        <w:t>Proposal</w:t>
      </w:r>
    </w:p>
    <w:p w14:paraId="22A57AD3" w14:textId="77777777" w:rsidR="00A3376E" w:rsidRDefault="001A20C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 of this project is to develop a novel method for identifying peptides that are potential drug targets for inhibition of PDZ domain-containing proteins. The PDZ domain is involved in interactions with other proteins and is generally responsible for co-localization and regulation. A multitude of proteins exist with variants of this domain, each with a specific target protein(s). The most promising inhibitor compounds have been small </w:t>
      </w:r>
      <w:proofErr w:type="gramStart"/>
      <w:r>
        <w:rPr>
          <w:rFonts w:ascii="Times New Roman" w:eastAsia="Times New Roman" w:hAnsi="Times New Roman" w:cs="Times New Roman"/>
          <w:sz w:val="24"/>
          <w:szCs w:val="24"/>
        </w:rPr>
        <w:t>peptides which</w:t>
      </w:r>
      <w:proofErr w:type="gramEnd"/>
      <w:r>
        <w:rPr>
          <w:rFonts w:ascii="Times New Roman" w:eastAsia="Times New Roman" w:hAnsi="Times New Roman" w:cs="Times New Roman"/>
          <w:sz w:val="24"/>
          <w:szCs w:val="24"/>
        </w:rPr>
        <w:t xml:space="preserve"> match the C-terminus tail of the particular PDZ domain</w:t>
      </w:r>
      <w:r>
        <w:rPr>
          <w:rFonts w:ascii="Times New Roman" w:hAnsi="Times New Roman"/>
          <w:sz w:val="24"/>
          <w:szCs w:val="24"/>
        </w:rPr>
        <w:t xml:space="preserve">’s target protein. However, two key problems have prevented any PDZ domain inhibitors from entering or succeeding in clinical trials: insufficient selectivity to the particular protein target and low binding affinity. PDZ domains are largely conserved and bind to a limited set of the C-termini target motifs; thus even leads which show positive therapeutic effects, will bind promiscuously and can cause disastrous side effects––this one of the reasons small molecules have been unsuccessful inhibitors. In addition, transient PDZ interactions lead to generally low binding affinity, typically in the </w:t>
      </w:r>
      <w:proofErr w:type="spellStart"/>
      <w:r>
        <w:rPr>
          <w:rFonts w:ascii="Times New Roman" w:hAnsi="Times New Roman"/>
          <w:sz w:val="24"/>
          <w:szCs w:val="24"/>
        </w:rPr>
        <w:t>micromolar</w:t>
      </w:r>
      <w:proofErr w:type="spellEnd"/>
      <w:r>
        <w:rPr>
          <w:rFonts w:ascii="Times New Roman" w:hAnsi="Times New Roman"/>
          <w:sz w:val="24"/>
          <w:szCs w:val="24"/>
        </w:rPr>
        <w:t xml:space="preserve"> range.</w:t>
      </w:r>
      <w:r>
        <w:rPr>
          <w:rFonts w:ascii="Times New Roman" w:hAnsi="Times New Roman"/>
          <w:sz w:val="24"/>
          <w:szCs w:val="24"/>
          <w:vertAlign w:val="superscript"/>
        </w:rPr>
        <w:t>1</w:t>
      </w:r>
      <w:r>
        <w:rPr>
          <w:rFonts w:ascii="Times New Roman" w:hAnsi="Times New Roman"/>
          <w:sz w:val="24"/>
          <w:szCs w:val="24"/>
        </w:rPr>
        <w:t xml:space="preserve"> Previous studies have demonstrated potential for coupling various carboxylic acids to lysine residues on the peptide ligands. This has unlocked a multitude of modified peptides one of which may have increased affinity and specificity for a particular protein target. We seek to rapidly explore this new space using virtual combinatorial screening of modified target peptides––those which are already known to bind the protein. The use of </w:t>
      </w:r>
      <w:r>
        <w:rPr>
          <w:rFonts w:ascii="Times New Roman" w:hAnsi="Times New Roman"/>
          <w:i/>
          <w:iCs/>
          <w:sz w:val="24"/>
          <w:szCs w:val="24"/>
        </w:rPr>
        <w:t xml:space="preserve">in </w:t>
      </w:r>
      <w:proofErr w:type="spellStart"/>
      <w:r>
        <w:rPr>
          <w:rFonts w:ascii="Times New Roman" w:hAnsi="Times New Roman"/>
          <w:i/>
          <w:iCs/>
          <w:sz w:val="24"/>
          <w:szCs w:val="24"/>
        </w:rPr>
        <w:t>silico</w:t>
      </w:r>
      <w:proofErr w:type="spellEnd"/>
      <w:r>
        <w:rPr>
          <w:rFonts w:ascii="Times New Roman" w:hAnsi="Times New Roman"/>
          <w:sz w:val="24"/>
          <w:szCs w:val="24"/>
        </w:rPr>
        <w:t xml:space="preserve"> screening to narrow down potential targets will drastically reduce the number of peptides we need to synthesize, purify, and characterize in the lab. Each synthesis procedure must be carefully planned out and complications may arise depending on the particular modification, resulting in time consuming procedures. Molecular modeling and docking software will enable us to traverse through modification combinations quickly, resulting in leads which can be further analyzed for binding energetics before picking a few to synthesize and test empirically.</w:t>
      </w:r>
    </w:p>
    <w:p w14:paraId="4165BCA1" w14:textId="77777777" w:rsidR="00A3376E" w:rsidRDefault="001A20C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Two proteins of particular interest to our group are GIPC (GAIP interacting protein, C terminus) and </w:t>
      </w:r>
      <w:r>
        <w:rPr>
          <w:rFonts w:ascii="Times New Roman" w:hAnsi="Times New Roman"/>
          <w:sz w:val="24"/>
          <w:szCs w:val="24"/>
        </w:rPr>
        <w:t xml:space="preserve">CAL (CFTR-associated ligand). Our laboratory has done significant investigation into GIPC, a protein </w:t>
      </w:r>
      <w:proofErr w:type="gramStart"/>
      <w:r>
        <w:rPr>
          <w:rFonts w:ascii="Times New Roman" w:hAnsi="Times New Roman"/>
          <w:sz w:val="24"/>
          <w:szCs w:val="24"/>
        </w:rPr>
        <w:t>which</w:t>
      </w:r>
      <w:proofErr w:type="gramEnd"/>
      <w:r>
        <w:rPr>
          <w:rFonts w:ascii="Times New Roman" w:hAnsi="Times New Roman"/>
          <w:sz w:val="24"/>
          <w:szCs w:val="24"/>
        </w:rPr>
        <w:t xml:space="preserve"> has been shown to be unregulated in and contribute to pancreatic and breast cancer. We, and our collaborators, have developed peptides with promise as anticancer treatments; however, we do not currently have access to GIPC for binding studies, and this empirical data is required to verify the success of our computational process. We do, however, have access to CAL, and previous studies have demonstrated significant promise in utilizing CAL inhibitors to extend the half life of mutated cystic fibrosis </w:t>
      </w:r>
      <w:proofErr w:type="spellStart"/>
      <w:r>
        <w:rPr>
          <w:rFonts w:ascii="Times New Roman" w:hAnsi="Times New Roman"/>
          <w:sz w:val="24"/>
          <w:szCs w:val="24"/>
        </w:rPr>
        <w:t>transmembrane</w:t>
      </w:r>
      <w:proofErr w:type="spellEnd"/>
      <w:r>
        <w:rPr>
          <w:rFonts w:ascii="Times New Roman" w:hAnsi="Times New Roman"/>
          <w:sz w:val="24"/>
          <w:szCs w:val="24"/>
        </w:rPr>
        <w:t xml:space="preserve"> conductance regulator protein (ΔF508-</w:t>
      </w:r>
      <w:proofErr w:type="gramStart"/>
      <w:r>
        <w:rPr>
          <w:rFonts w:ascii="Times New Roman" w:hAnsi="Times New Roman"/>
          <w:sz w:val="24"/>
          <w:szCs w:val="24"/>
        </w:rPr>
        <w:t>CFTR)</w:t>
      </w:r>
      <w:r>
        <w:rPr>
          <w:rFonts w:ascii="Times New Roman" w:hAnsi="Times New Roman"/>
          <w:sz w:val="24"/>
          <w:szCs w:val="24"/>
          <w:vertAlign w:val="superscript"/>
        </w:rPr>
        <w:t>3</w:t>
      </w:r>
      <w:proofErr w:type="gramEnd"/>
      <w:r>
        <w:rPr>
          <w:rFonts w:ascii="Times New Roman" w:hAnsi="Times New Roman"/>
          <w:sz w:val="24"/>
          <w:szCs w:val="24"/>
        </w:rPr>
        <w:t xml:space="preserve">. The mutation, which causes cystic fibrosis, an autosomal recessive disease, accelerates the breakdown rate of CFTR, causing an abnormal </w:t>
      </w:r>
      <w:proofErr w:type="spellStart"/>
      <w:r>
        <w:rPr>
          <w:rFonts w:ascii="Times New Roman" w:hAnsi="Times New Roman"/>
          <w:sz w:val="24"/>
          <w:szCs w:val="24"/>
        </w:rPr>
        <w:t>Cl</w:t>
      </w:r>
      <w:proofErr w:type="spellEnd"/>
      <w:r>
        <w:rPr>
          <w:rFonts w:ascii="Times New Roman" w:hAnsi="Times New Roman"/>
          <w:sz w:val="24"/>
          <w:szCs w:val="24"/>
          <w:vertAlign w:val="superscript"/>
        </w:rPr>
        <w:t>-</w:t>
      </w:r>
      <w:r>
        <w:rPr>
          <w:rFonts w:ascii="Times New Roman" w:hAnsi="Times New Roman"/>
          <w:sz w:val="24"/>
          <w:szCs w:val="24"/>
        </w:rPr>
        <w:t xml:space="preserve"> conductance across the plasma membrane of epithelial cells. However inhibition of CAL has been shown to slow down the breakdown rate and, at least to some extent, remedy the problem.</w:t>
      </w:r>
      <w:r>
        <w:rPr>
          <w:rFonts w:ascii="Times New Roman" w:hAnsi="Times New Roman"/>
          <w:sz w:val="24"/>
          <w:szCs w:val="24"/>
          <w:vertAlign w:val="superscript"/>
        </w:rPr>
        <w:t>5</w:t>
      </w:r>
      <w:r>
        <w:rPr>
          <w:rFonts w:ascii="Times New Roman" w:hAnsi="Times New Roman"/>
          <w:sz w:val="24"/>
          <w:szCs w:val="24"/>
        </w:rPr>
        <w:t xml:space="preserve"> Our preliminary target for this project is developing CAL inhibitors due to ease of verification and previous literature on modified peptide inhibitors. However, if the computational workflow demonstrates success for CAL it is relatively trivial to apply it to GIPC and other PDZ domain-containing proteins down the road. </w:t>
      </w:r>
    </w:p>
    <w:p w14:paraId="77024D5E" w14:textId="77777777" w:rsidR="00A3376E" w:rsidRDefault="001A20C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screening approach is rooted in our previous </w:t>
      </w:r>
      <w:proofErr w:type="gramStart"/>
      <w:r>
        <w:rPr>
          <w:rFonts w:ascii="Times New Roman" w:eastAsia="Times New Roman" w:hAnsi="Times New Roman" w:cs="Times New Roman"/>
          <w:sz w:val="24"/>
          <w:szCs w:val="24"/>
        </w:rPr>
        <w:t>study which</w:t>
      </w:r>
      <w:proofErr w:type="gramEnd"/>
      <w:r>
        <w:rPr>
          <w:rFonts w:ascii="Times New Roman" w:eastAsia="Times New Roman" w:hAnsi="Times New Roman" w:cs="Times New Roman"/>
          <w:sz w:val="24"/>
          <w:szCs w:val="24"/>
        </w:rPr>
        <w:t xml:space="preserve"> demonstrated the feasibility of mutating residues on the target peptide for CAL to a lysine and coupling its free amine with an organic acid to create a stable amide (similar to a peptide bond). </w:t>
      </w:r>
      <w:r>
        <w:rPr>
          <w:rFonts w:ascii="Times New Roman" w:hAnsi="Times New Roman"/>
          <w:sz w:val="24"/>
          <w:szCs w:val="24"/>
        </w:rPr>
        <w:t xml:space="preserve">The initial study coupled the mutated lysine with the simplest carboxylic acid (acetic acid) and many of the residues tolerated this modification. Four of them even displayed a modest increase in binding affinity. This study was a proof of concept that the peptide would bind in a similar conformer </w:t>
      </w:r>
      <w:r>
        <w:rPr>
          <w:rFonts w:ascii="Times New Roman" w:hAnsi="Times New Roman"/>
          <w:sz w:val="24"/>
          <w:szCs w:val="24"/>
        </w:rPr>
        <w:lastRenderedPageBreak/>
        <w:t>with a modified lysine mutation, confirmed by crystal structures of the complex.</w:t>
      </w:r>
      <w:r>
        <w:rPr>
          <w:rFonts w:ascii="Times New Roman" w:hAnsi="Times New Roman"/>
          <w:sz w:val="24"/>
          <w:szCs w:val="24"/>
          <w:vertAlign w:val="superscript"/>
        </w:rPr>
        <w:t>1</w:t>
      </w:r>
      <w:r>
        <w:rPr>
          <w:rFonts w:ascii="Times New Roman" w:hAnsi="Times New Roman"/>
          <w:sz w:val="24"/>
          <w:szCs w:val="24"/>
        </w:rPr>
        <w:t xml:space="preserve"> Therefore, any stable acid could feasibly be coupled with the lysine residue(s), effectively creating a branch off the core peptide where novel groups can be attached. This significantly expands the chemical space and is not limited by only amino acids in standard peptides. Additionally, the branched nature of this type of modification allows the added chemical groups to interact with part of the protein that is further away from the conserved, active site. This has the potential to increase both affinity and specificity of the compound if the attached group has favorable intermolecular interactions to the particular protein. A framework has thus been established for exploring modified versions of this refined peptide; however synthesizing a large number of these peptides, especially for peptides with modifications at multiple loci, would be practically infeasible in an academic research setting. Utilizing this computational approach to narrow down the vast array of possible compounds to a few promising leads will drastically increase the likelihood of finding a viable drug target.</w:t>
      </w:r>
    </w:p>
    <w:p w14:paraId="2E5F0A08" w14:textId="77777777" w:rsidR="00A3376E" w:rsidRDefault="001A20C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developed a workflow using KNIME, an open-source data analytics and integration tool</w:t>
      </w:r>
      <w:r>
        <w:rPr>
          <w:rFonts w:ascii="Times New Roman" w:hAnsi="Times New Roman"/>
          <w:sz w:val="24"/>
          <w:szCs w:val="24"/>
          <w:vertAlign w:val="superscript"/>
        </w:rPr>
        <w:t>2</w:t>
      </w:r>
      <w:r>
        <w:rPr>
          <w:rFonts w:ascii="Times New Roman" w:hAnsi="Times New Roman"/>
          <w:sz w:val="24"/>
          <w:szCs w:val="24"/>
        </w:rPr>
        <w:t>, in concert with Schrödinger, a commercial molecular modeling package.</w:t>
      </w:r>
      <w:r>
        <w:rPr>
          <w:rFonts w:ascii="Times New Roman" w:hAnsi="Times New Roman"/>
          <w:sz w:val="24"/>
          <w:szCs w:val="24"/>
          <w:vertAlign w:val="superscript"/>
        </w:rPr>
        <w:t>4</w:t>
      </w:r>
      <w:r>
        <w:rPr>
          <w:rFonts w:ascii="Times New Roman" w:hAnsi="Times New Roman"/>
          <w:sz w:val="24"/>
          <w:szCs w:val="24"/>
        </w:rPr>
        <w:t xml:space="preserve"> </w:t>
      </w:r>
      <w:proofErr w:type="gramStart"/>
      <w:r>
        <w:rPr>
          <w:rFonts w:ascii="Times New Roman" w:hAnsi="Times New Roman"/>
          <w:sz w:val="24"/>
          <w:szCs w:val="24"/>
        </w:rPr>
        <w:t>An</w:t>
      </w:r>
      <w:proofErr w:type="gramEnd"/>
      <w:r>
        <w:rPr>
          <w:rFonts w:ascii="Times New Roman" w:hAnsi="Times New Roman"/>
          <w:sz w:val="24"/>
          <w:szCs w:val="24"/>
        </w:rPr>
        <w:t xml:space="preserve"> outline of the workflow can be seen below (figure 1). The workflow automates protein and ligand preparation, combinatorial enumeration, docking and scoring. Crystal structures of CAL </w:t>
      </w:r>
      <w:proofErr w:type="spellStart"/>
      <w:r>
        <w:rPr>
          <w:rFonts w:ascii="Times New Roman" w:hAnsi="Times New Roman"/>
          <w:sz w:val="24"/>
          <w:szCs w:val="24"/>
        </w:rPr>
        <w:t>complexed</w:t>
      </w:r>
      <w:proofErr w:type="spellEnd"/>
      <w:r>
        <w:rPr>
          <w:rFonts w:ascii="Times New Roman" w:hAnsi="Times New Roman"/>
          <w:sz w:val="24"/>
          <w:szCs w:val="24"/>
        </w:rPr>
        <w:t xml:space="preserve"> with modified peptides from our previous study will be utilized as inputs. Protein preparation is a standard process of adding missing </w:t>
      </w:r>
      <w:proofErr w:type="spellStart"/>
      <w:r>
        <w:rPr>
          <w:rFonts w:ascii="Times New Roman" w:hAnsi="Times New Roman"/>
          <w:sz w:val="24"/>
          <w:szCs w:val="24"/>
        </w:rPr>
        <w:t>hydrogens</w:t>
      </w:r>
      <w:proofErr w:type="spellEnd"/>
      <w:r>
        <w:rPr>
          <w:rFonts w:ascii="Times New Roman" w:hAnsi="Times New Roman"/>
          <w:sz w:val="24"/>
          <w:szCs w:val="24"/>
        </w:rPr>
        <w:t xml:space="preserve"> and heavy chain atoms, removing invalid water molecules, assigning bond orders, etc. Next, the ligand structure is extracted and one, or more, of the residues is modified to a lysine which will be attachment points for acids. We acquired acid libraries from chemical manufacturers, pre-filtered by pharmacological properties. The workflow further filters the library with general </w:t>
      </w:r>
      <w:proofErr w:type="gramStart"/>
      <w:r>
        <w:rPr>
          <w:rFonts w:ascii="Times New Roman" w:hAnsi="Times New Roman"/>
          <w:sz w:val="24"/>
          <w:szCs w:val="24"/>
        </w:rPr>
        <w:t>rules which</w:t>
      </w:r>
      <w:proofErr w:type="gramEnd"/>
      <w:r>
        <w:rPr>
          <w:rFonts w:ascii="Times New Roman" w:hAnsi="Times New Roman"/>
          <w:sz w:val="24"/>
          <w:szCs w:val="24"/>
        </w:rPr>
        <w:t xml:space="preserve"> prevent particular acids from being feasible in peptide synthesis. Each 2D structure in the library is then converted into multiple 3D conformers based on energetic favorability. Reagent attachment positions on the ligand peptide are defined and </w:t>
      </w:r>
      <w:proofErr w:type="spellStart"/>
      <w:r>
        <w:rPr>
          <w:rFonts w:ascii="Times New Roman" w:hAnsi="Times New Roman"/>
          <w:sz w:val="24"/>
          <w:szCs w:val="24"/>
        </w:rPr>
        <w:t>combinatorially</w:t>
      </w:r>
      <w:proofErr w:type="spellEnd"/>
      <w:r>
        <w:rPr>
          <w:rFonts w:ascii="Times New Roman" w:hAnsi="Times New Roman"/>
          <w:sz w:val="24"/>
          <w:szCs w:val="24"/>
        </w:rPr>
        <w:t xml:space="preserve"> enumerated with the acid library using CombiGlide.</w:t>
      </w:r>
      <w:r>
        <w:rPr>
          <w:rFonts w:ascii="Times New Roman" w:hAnsi="Times New Roman"/>
          <w:sz w:val="24"/>
          <w:szCs w:val="24"/>
          <w:vertAlign w:val="superscript"/>
        </w:rPr>
        <w:t>4</w:t>
      </w:r>
      <w:r>
        <w:rPr>
          <w:rFonts w:ascii="Times New Roman" w:hAnsi="Times New Roman"/>
          <w:sz w:val="24"/>
          <w:szCs w:val="24"/>
        </w:rPr>
        <w:t xml:space="preserve"> Once enumerated, the workflow docks each modified compound to the prepared protein with a set of predefined constraints on the active site, such as required hydrogen bonds and </w:t>
      </w:r>
      <w:proofErr w:type="spellStart"/>
      <w:r>
        <w:rPr>
          <w:rFonts w:ascii="Times New Roman" w:hAnsi="Times New Roman"/>
          <w:sz w:val="24"/>
          <w:szCs w:val="24"/>
        </w:rPr>
        <w:t>spacial</w:t>
      </w:r>
      <w:proofErr w:type="spellEnd"/>
      <w:r>
        <w:rPr>
          <w:rFonts w:ascii="Times New Roman" w:hAnsi="Times New Roman"/>
          <w:sz w:val="24"/>
          <w:szCs w:val="24"/>
        </w:rPr>
        <w:t xml:space="preserve"> occupation constraints. Glide docking can be performed at three increasing levels of precision, each with longer computing times: HTVS (high throughput virtual screening), SP (standard precision), and XP (extra precision). The workflow funnels the results by first screening all compounds using HTVS and comparing the resulting binding score to the unmodified peptide. Those, which exceed the original in affinity, pass on to SP and then XP docking </w:t>
      </w:r>
      <w:proofErr w:type="gramStart"/>
      <w:r>
        <w:rPr>
          <w:rFonts w:ascii="Times New Roman" w:hAnsi="Times New Roman"/>
          <w:sz w:val="24"/>
          <w:szCs w:val="24"/>
        </w:rPr>
        <w:t>protocols which</w:t>
      </w:r>
      <w:proofErr w:type="gramEnd"/>
      <w:r>
        <w:rPr>
          <w:rFonts w:ascii="Times New Roman" w:hAnsi="Times New Roman"/>
          <w:sz w:val="24"/>
          <w:szCs w:val="24"/>
        </w:rPr>
        <w:t xml:space="preserve"> yields our final assortment of leads.</w:t>
      </w:r>
    </w:p>
    <w:p w14:paraId="0F10AA8D" w14:textId="77777777" w:rsidR="00A3376E" w:rsidRDefault="001A20C6">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cannot currently process our full acid libraries due to insufficient computing power, but plan to execute the software on the Dartmouth Discovery computing cluster. </w:t>
      </w:r>
      <w:r>
        <w:rPr>
          <w:rFonts w:ascii="Times New Roman" w:hAnsi="Times New Roman"/>
          <w:sz w:val="24"/>
          <w:szCs w:val="24"/>
        </w:rPr>
        <w:t xml:space="preserve">KNIME allows asynchronous execution of the workflow and distribution of resources across a cluster and would enable us to rapidly get lead compounds while the process is running. The overall goal of this project is take leads from the computational software and test their empirical binding affinities. If the projects </w:t>
      </w:r>
      <w:proofErr w:type="gramStart"/>
      <w:r>
        <w:rPr>
          <w:rFonts w:ascii="Times New Roman" w:hAnsi="Times New Roman"/>
          <w:sz w:val="24"/>
          <w:szCs w:val="24"/>
        </w:rPr>
        <w:t>succeeds</w:t>
      </w:r>
      <w:proofErr w:type="gramEnd"/>
      <w:r>
        <w:rPr>
          <w:rFonts w:ascii="Times New Roman" w:hAnsi="Times New Roman"/>
          <w:sz w:val="24"/>
          <w:szCs w:val="24"/>
        </w:rPr>
        <w:t xml:space="preserve"> (for some or all compounds) we can validate the approach and identify points of error. However, this is not simply a proof of concept, it will hopefully bring us closer to developing a therapy for a variety of currently untreatable ailments.</w:t>
      </w:r>
    </w:p>
    <w:p w14:paraId="0D6BAE4E" w14:textId="77777777" w:rsidR="00A3376E" w:rsidRDefault="00A3376E">
      <w:pPr>
        <w:pStyle w:val="Body"/>
        <w:rPr>
          <w:rFonts w:ascii="Times New Roman" w:eastAsia="Times New Roman" w:hAnsi="Times New Roman" w:cs="Times New Roman"/>
          <w:sz w:val="24"/>
          <w:szCs w:val="24"/>
        </w:rPr>
      </w:pPr>
    </w:p>
    <w:p w14:paraId="770A99F5" w14:textId="77777777" w:rsidR="00A3376E" w:rsidRDefault="00A3376E">
      <w:pPr>
        <w:pStyle w:val="Body"/>
      </w:pPr>
    </w:p>
    <w:p w14:paraId="6CC151F9" w14:textId="77777777" w:rsidR="00A3376E" w:rsidRDefault="001A20C6">
      <w:pPr>
        <w:pStyle w:val="Body"/>
        <w:rPr>
          <w:rFonts w:ascii="Times New Roman" w:eastAsia="Times New Roman" w:hAnsi="Times New Roman" w:cs="Times New Roman"/>
          <w:b/>
          <w:bCs/>
          <w:sz w:val="24"/>
          <w:szCs w:val="24"/>
        </w:rPr>
      </w:pPr>
      <w:r>
        <w:rPr>
          <w:noProof/>
        </w:rPr>
        <w:lastRenderedPageBreak/>
        <w:drawing>
          <wp:anchor distT="152400" distB="152400" distL="152400" distR="152400" simplePos="0" relativeHeight="251659264" behindDoc="0" locked="0" layoutInCell="1" allowOverlap="1" wp14:anchorId="6D5997C3" wp14:editId="2120177E">
            <wp:simplePos x="0" y="0"/>
            <wp:positionH relativeFrom="page">
              <wp:posOffset>-671386</wp:posOffset>
            </wp:positionH>
            <wp:positionV relativeFrom="page">
              <wp:posOffset>1757525</wp:posOffset>
            </wp:positionV>
            <wp:extent cx="9115173" cy="6882017"/>
            <wp:effectExtent l="0" t="0" r="0" b="0"/>
            <wp:wrapThrough wrapText="bothSides" distL="152400" distR="152400">
              <wp:wrapPolygon edited="1">
                <wp:start x="0" y="0"/>
                <wp:lineTo x="21621" y="0"/>
                <wp:lineTo x="21621" y="21624"/>
                <wp:lineTo x="0" y="216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1-11 at 3.20.08 PM.png"/>
                    <pic:cNvPicPr>
                      <a:picLocks noChangeAspect="1"/>
                    </pic:cNvPicPr>
                  </pic:nvPicPr>
                  <pic:blipFill>
                    <a:blip r:embed="rId7">
                      <a:extLst/>
                    </a:blip>
                    <a:stretch>
                      <a:fillRect/>
                    </a:stretch>
                  </pic:blipFill>
                  <pic:spPr>
                    <a:xfrm rot="16200000">
                      <a:off x="0" y="0"/>
                      <a:ext cx="9115173" cy="6882017"/>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731F5CB" wp14:editId="02AF4F5B">
                <wp:simplePos x="0" y="0"/>
                <wp:positionH relativeFrom="page">
                  <wp:posOffset>445191</wp:posOffset>
                </wp:positionH>
                <wp:positionV relativeFrom="page">
                  <wp:posOffset>640947</wp:posOffset>
                </wp:positionV>
                <wp:extent cx="4289062" cy="29269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289062" cy="292696"/>
                        </a:xfrm>
                        <a:prstGeom prst="rect">
                          <a:avLst/>
                        </a:prstGeom>
                        <a:noFill/>
                        <a:ln w="12700" cap="flat">
                          <a:noFill/>
                          <a:miter lim="400000"/>
                        </a:ln>
                        <a:effectLst/>
                      </wps:spPr>
                      <wps:txbx>
                        <w:txbxContent>
                          <w:p w14:paraId="56626529" w14:textId="77777777" w:rsidR="00A3376E" w:rsidRDefault="001A20C6">
                            <w:pPr>
                              <w:pStyle w:val="Body"/>
                            </w:pPr>
                            <w:r>
                              <w:rPr>
                                <w:rFonts w:ascii="Times New Roman" w:hAnsi="Times New Roman"/>
                                <w:b/>
                                <w:bCs/>
                                <w:sz w:val="24"/>
                                <w:szCs w:val="24"/>
                              </w:rPr>
                              <w:t>Figure 1: KNIME Data Flow Representation</w:t>
                            </w:r>
                          </w:p>
                        </w:txbxContent>
                      </wps:txbx>
                      <wps:bodyPr wrap="square" lIns="50800" tIns="50800" rIns="50800" bIns="50800" numCol="1" anchor="t">
                        <a:noAutofit/>
                      </wps:bodyPr>
                    </wps:wsp>
                  </a:graphicData>
                </a:graphic>
              </wp:anchor>
            </w:drawing>
          </mc:Choice>
          <mc:Fallback>
            <w:pict>
              <v:rect id="_x0000_s1026" style="visibility:visible;position:absolute;margin-left:35.1pt;margin-top:50.5pt;width:337.7pt;height:2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Figure 1: KNIME Data Flow Representation</w:t>
                      </w:r>
                    </w:p>
                  </w:txbxContent>
                </v:textbox>
                <w10:wrap type="through" side="bothSides" anchorx="page" anchory="page"/>
              </v:rect>
            </w:pict>
          </mc:Fallback>
        </mc:AlternateContent>
      </w:r>
      <w:r>
        <w:rPr>
          <w:rFonts w:ascii="Times New Roman" w:hAnsi="Times New Roman"/>
          <w:b/>
          <w:bCs/>
          <w:sz w:val="24"/>
          <w:szCs w:val="24"/>
        </w:rPr>
        <w:t>References</w:t>
      </w:r>
    </w:p>
    <w:p w14:paraId="4F72B4F8" w14:textId="77777777" w:rsidR="00A3376E" w:rsidRDefault="001A20C6">
      <w:pPr>
        <w:pStyle w:val="Body"/>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References</w:t>
      </w:r>
    </w:p>
    <w:p w14:paraId="7E955D24" w14:textId="77777777" w:rsidR="00A3376E" w:rsidRDefault="001A20C6">
      <w:pPr>
        <w:pStyle w:val="Footnote"/>
        <w:rPr>
          <w:rFonts w:ascii="Times New Roman" w:eastAsia="Times New Roman" w:hAnsi="Times New Roman" w:cs="Times New Roman"/>
        </w:rPr>
      </w:pPr>
      <w:r>
        <w:rPr>
          <w:rFonts w:ascii="Times New Roman" w:hAnsi="Times New Roman"/>
          <w:vertAlign w:val="superscript"/>
        </w:rPr>
        <w:t>1</w:t>
      </w:r>
      <w:r>
        <w:rPr>
          <w:rFonts w:ascii="Times New Roman" w:hAnsi="Times New Roman"/>
        </w:rPr>
        <w:t xml:space="preserve"> </w:t>
      </w:r>
      <w:proofErr w:type="spellStart"/>
      <w:r>
        <w:rPr>
          <w:rFonts w:ascii="Times New Roman" w:hAnsi="Times New Roman"/>
        </w:rPr>
        <w:t>Amacher</w:t>
      </w:r>
      <w:proofErr w:type="spellEnd"/>
      <w:r>
        <w:rPr>
          <w:rFonts w:ascii="Times New Roman" w:hAnsi="Times New Roman"/>
        </w:rPr>
        <w:t xml:space="preserve"> JF, Zhao R, </w:t>
      </w:r>
      <w:proofErr w:type="spellStart"/>
      <w:r>
        <w:rPr>
          <w:rFonts w:ascii="Times New Roman" w:hAnsi="Times New Roman"/>
        </w:rPr>
        <w:t>Spaller</w:t>
      </w:r>
      <w:proofErr w:type="spellEnd"/>
      <w:r>
        <w:rPr>
          <w:rFonts w:ascii="Times New Roman" w:hAnsi="Times New Roman"/>
        </w:rPr>
        <w:t xml:space="preserve"> MR, Madden DR (2014) Chemically Modified Peptide Scaffolds Target the CFTR-Associated Ligand PDZ Domain. </w:t>
      </w:r>
      <w:proofErr w:type="spellStart"/>
      <w:r>
        <w:rPr>
          <w:rFonts w:ascii="Times New Roman" w:hAnsi="Times New Roman"/>
        </w:rPr>
        <w:t>PLoS</w:t>
      </w:r>
      <w:proofErr w:type="spellEnd"/>
      <w:r>
        <w:rPr>
          <w:rFonts w:ascii="Times New Roman" w:hAnsi="Times New Roman"/>
        </w:rPr>
        <w:t xml:space="preserve"> ONE 9(8): e103650. </w:t>
      </w:r>
      <w:proofErr w:type="gramStart"/>
      <w:r>
        <w:rPr>
          <w:rFonts w:ascii="Times New Roman" w:hAnsi="Times New Roman"/>
        </w:rPr>
        <w:t>doi:10.1371</w:t>
      </w:r>
      <w:proofErr w:type="gramEnd"/>
      <w:r>
        <w:rPr>
          <w:rFonts w:ascii="Times New Roman" w:hAnsi="Times New Roman"/>
        </w:rPr>
        <w:t>/journal.pone.0103650</w:t>
      </w:r>
    </w:p>
    <w:p w14:paraId="4323201E" w14:textId="77777777" w:rsidR="00A3376E" w:rsidRDefault="00A3376E">
      <w:pPr>
        <w:pStyle w:val="Footnote"/>
        <w:rPr>
          <w:rFonts w:ascii="Times New Roman" w:eastAsia="Times New Roman" w:hAnsi="Times New Roman" w:cs="Times New Roman"/>
        </w:rPr>
      </w:pPr>
    </w:p>
    <w:p w14:paraId="35940A6C" w14:textId="77777777" w:rsidR="00A3376E" w:rsidRDefault="001A20C6">
      <w:pPr>
        <w:pStyle w:val="Footnote"/>
        <w:rPr>
          <w:rFonts w:ascii="Times New Roman" w:eastAsia="Times New Roman" w:hAnsi="Times New Roman" w:cs="Times New Roman"/>
        </w:rPr>
      </w:pPr>
      <w:r>
        <w:rPr>
          <w:rFonts w:ascii="Times New Roman" w:hAnsi="Times New Roman"/>
          <w:vertAlign w:val="superscript"/>
        </w:rPr>
        <w:t xml:space="preserve">2 </w:t>
      </w:r>
      <w:r>
        <w:rPr>
          <w:rFonts w:ascii="Times New Roman" w:hAnsi="Times New Roman"/>
        </w:rPr>
        <w:t xml:space="preserve">"About KNIME." </w:t>
      </w:r>
      <w:proofErr w:type="gramStart"/>
      <w:r>
        <w:rPr>
          <w:rFonts w:ascii="Times New Roman" w:hAnsi="Times New Roman"/>
        </w:rPr>
        <w:t>KNIME | About KNIME.</w:t>
      </w:r>
      <w:proofErr w:type="gramEnd"/>
      <w:r>
        <w:rPr>
          <w:rFonts w:ascii="Times New Roman" w:hAnsi="Times New Roman"/>
        </w:rPr>
        <w:t xml:space="preserve"> </w:t>
      </w:r>
      <w:proofErr w:type="spellStart"/>
      <w:proofErr w:type="gramStart"/>
      <w:r>
        <w:rPr>
          <w:rFonts w:ascii="Times New Roman" w:hAnsi="Times New Roman"/>
        </w:rPr>
        <w:t>N.p</w:t>
      </w:r>
      <w:proofErr w:type="spellEnd"/>
      <w:r>
        <w:rPr>
          <w:rFonts w:ascii="Times New Roman" w:hAnsi="Times New Roman"/>
        </w:rPr>
        <w:t xml:space="preserve">., </w:t>
      </w:r>
      <w:proofErr w:type="spellStart"/>
      <w:r>
        <w:rPr>
          <w:rFonts w:ascii="Times New Roman" w:hAnsi="Times New Roman"/>
        </w:rPr>
        <w:t>n.d.</w:t>
      </w:r>
      <w:proofErr w:type="spellEnd"/>
      <w:r>
        <w:rPr>
          <w:rFonts w:ascii="Times New Roman" w:hAnsi="Times New Roman"/>
        </w:rPr>
        <w:t xml:space="preserve"> Web.</w:t>
      </w:r>
      <w:proofErr w:type="gramEnd"/>
      <w:r>
        <w:rPr>
          <w:rFonts w:ascii="Times New Roman" w:hAnsi="Times New Roman"/>
        </w:rPr>
        <w:t xml:space="preserve"> 11 Jan. 2017. &lt;https://www.knime.org/about&gt;.</w:t>
      </w:r>
    </w:p>
    <w:p w14:paraId="0B609DD1" w14:textId="77777777" w:rsidR="00A3376E" w:rsidRDefault="00A3376E">
      <w:pPr>
        <w:pStyle w:val="Footnote"/>
        <w:rPr>
          <w:rFonts w:ascii="Times New Roman" w:eastAsia="Times New Roman" w:hAnsi="Times New Roman" w:cs="Times New Roman"/>
        </w:rPr>
      </w:pPr>
    </w:p>
    <w:p w14:paraId="14930078" w14:textId="77777777" w:rsidR="00A3376E" w:rsidRDefault="001A20C6">
      <w:pPr>
        <w:pStyle w:val="Footnote"/>
        <w:rPr>
          <w:rFonts w:ascii="Times New Roman" w:eastAsia="Times New Roman" w:hAnsi="Times New Roman" w:cs="Times New Roman"/>
        </w:rPr>
      </w:pPr>
      <w:r>
        <w:rPr>
          <w:rFonts w:ascii="Times New Roman" w:hAnsi="Times New Roman"/>
          <w:vertAlign w:val="superscript"/>
        </w:rPr>
        <w:t>3</w:t>
      </w:r>
      <w:r>
        <w:rPr>
          <w:rFonts w:ascii="Times New Roman" w:hAnsi="Times New Roman"/>
        </w:rPr>
        <w:t xml:space="preserve"> Cushing, Patrick R., Lars </w:t>
      </w:r>
      <w:proofErr w:type="spellStart"/>
      <w:r>
        <w:rPr>
          <w:rFonts w:ascii="Times New Roman" w:hAnsi="Times New Roman"/>
        </w:rPr>
        <w:t>Vouilleme</w:t>
      </w:r>
      <w:proofErr w:type="spellEnd"/>
      <w:r>
        <w:rPr>
          <w:rFonts w:ascii="Times New Roman" w:hAnsi="Times New Roman"/>
        </w:rPr>
        <w:t xml:space="preserve">, Maria </w:t>
      </w:r>
      <w:proofErr w:type="spellStart"/>
      <w:r>
        <w:rPr>
          <w:rFonts w:ascii="Times New Roman" w:hAnsi="Times New Roman"/>
        </w:rPr>
        <w:t>Pellegrini</w:t>
      </w:r>
      <w:proofErr w:type="spellEnd"/>
      <w:r>
        <w:rPr>
          <w:rFonts w:ascii="Times New Roman" w:hAnsi="Times New Roman"/>
        </w:rPr>
        <w:t xml:space="preserve">, </w:t>
      </w:r>
      <w:proofErr w:type="spellStart"/>
      <w:r>
        <w:rPr>
          <w:rFonts w:ascii="Times New Roman" w:hAnsi="Times New Roman"/>
        </w:rPr>
        <w:t>Prisca</w:t>
      </w:r>
      <w:proofErr w:type="spellEnd"/>
      <w:r>
        <w:rPr>
          <w:rFonts w:ascii="Times New Roman" w:hAnsi="Times New Roman"/>
        </w:rPr>
        <w:t xml:space="preserve"> </w:t>
      </w:r>
      <w:proofErr w:type="spellStart"/>
      <w:r>
        <w:rPr>
          <w:rFonts w:ascii="Times New Roman" w:hAnsi="Times New Roman"/>
        </w:rPr>
        <w:t>Boisguerin</w:t>
      </w:r>
      <w:proofErr w:type="spellEnd"/>
      <w:r>
        <w:rPr>
          <w:rFonts w:ascii="Times New Roman" w:hAnsi="Times New Roman"/>
        </w:rPr>
        <w:t>, and Dean R. Madden. "A Stabilizing Influence: CAL PDZ Inhibition Extends the Half-Life of Δ</w:t>
      </w:r>
      <w:r>
        <w:rPr>
          <w:rFonts w:ascii="Times New Roman" w:hAnsi="Times New Roman"/>
          <w:lang w:val="de-DE"/>
        </w:rPr>
        <w:t>F508-CFTR." Angewandte Chemie 122.51 (2010): 10103-0107. Web.</w:t>
      </w:r>
    </w:p>
    <w:p w14:paraId="6685AF24" w14:textId="77777777" w:rsidR="00A3376E" w:rsidRDefault="00A3376E">
      <w:pPr>
        <w:pStyle w:val="Footnote"/>
        <w:rPr>
          <w:rFonts w:ascii="Times New Roman" w:eastAsia="Times New Roman" w:hAnsi="Times New Roman" w:cs="Times New Roman"/>
        </w:rPr>
      </w:pPr>
    </w:p>
    <w:p w14:paraId="319CF715" w14:textId="77777777" w:rsidR="00A3376E" w:rsidRDefault="00A3376E">
      <w:pPr>
        <w:pStyle w:val="Footnote"/>
        <w:rPr>
          <w:rFonts w:ascii="Times New Roman" w:eastAsia="Times New Roman" w:hAnsi="Times New Roman" w:cs="Times New Roman"/>
        </w:rPr>
      </w:pPr>
    </w:p>
    <w:p w14:paraId="6DBFB5E5" w14:textId="77777777" w:rsidR="00A3376E" w:rsidRDefault="001A20C6">
      <w:pPr>
        <w:pStyle w:val="Footnote"/>
        <w:rPr>
          <w:rFonts w:ascii="Times New Roman" w:eastAsia="Times New Roman" w:hAnsi="Times New Roman" w:cs="Times New Roman"/>
        </w:rPr>
      </w:pPr>
      <w:r>
        <w:rPr>
          <w:rFonts w:ascii="Times New Roman" w:hAnsi="Times New Roman"/>
          <w:vertAlign w:val="superscript"/>
        </w:rPr>
        <w:t xml:space="preserve">4 </w:t>
      </w:r>
      <w:r>
        <w:rPr>
          <w:rFonts w:ascii="Times New Roman" w:hAnsi="Times New Roman"/>
        </w:rPr>
        <w:t xml:space="preserve">"Overview | </w:t>
      </w:r>
      <w:proofErr w:type="spellStart"/>
      <w:r>
        <w:rPr>
          <w:rFonts w:ascii="Times New Roman" w:hAnsi="Times New Roman"/>
        </w:rPr>
        <w:t>Schr</w:t>
      </w:r>
      <w:proofErr w:type="spellEnd"/>
      <w:r>
        <w:rPr>
          <w:rFonts w:ascii="Times New Roman" w:hAnsi="Times New Roman"/>
          <w:lang w:val="sv-SE"/>
        </w:rPr>
        <w:t>ö</w:t>
      </w:r>
      <w:r>
        <w:rPr>
          <w:rFonts w:ascii="Times New Roman" w:hAnsi="Times New Roman"/>
        </w:rPr>
        <w:t xml:space="preserve">dinger." </w:t>
      </w:r>
      <w:proofErr w:type="gramStart"/>
      <w:r>
        <w:rPr>
          <w:rFonts w:ascii="Times New Roman" w:hAnsi="Times New Roman"/>
        </w:rPr>
        <w:t xml:space="preserve">Overview | </w:t>
      </w:r>
      <w:proofErr w:type="spellStart"/>
      <w:r>
        <w:rPr>
          <w:rFonts w:ascii="Times New Roman" w:hAnsi="Times New Roman"/>
        </w:rPr>
        <w:t>Schr</w:t>
      </w:r>
      <w:proofErr w:type="spellEnd"/>
      <w:r>
        <w:rPr>
          <w:rFonts w:ascii="Times New Roman" w:hAnsi="Times New Roman"/>
          <w:lang w:val="sv-SE"/>
        </w:rPr>
        <w:t>ö</w:t>
      </w:r>
      <w:r>
        <w:rPr>
          <w:rFonts w:ascii="Times New Roman" w:hAnsi="Times New Roman"/>
        </w:rPr>
        <w:t>dinger.</w:t>
      </w:r>
      <w:proofErr w:type="gramEnd"/>
      <w:r>
        <w:rPr>
          <w:rFonts w:ascii="Times New Roman" w:hAnsi="Times New Roman"/>
        </w:rPr>
        <w:t xml:space="preserve"> </w:t>
      </w:r>
      <w:proofErr w:type="spellStart"/>
      <w:proofErr w:type="gramStart"/>
      <w:r>
        <w:rPr>
          <w:rFonts w:ascii="Times New Roman" w:hAnsi="Times New Roman"/>
        </w:rPr>
        <w:t>N.p</w:t>
      </w:r>
      <w:proofErr w:type="spellEnd"/>
      <w:r>
        <w:rPr>
          <w:rFonts w:ascii="Times New Roman" w:hAnsi="Times New Roman"/>
        </w:rPr>
        <w:t xml:space="preserve">., </w:t>
      </w:r>
      <w:proofErr w:type="spellStart"/>
      <w:r>
        <w:rPr>
          <w:rFonts w:ascii="Times New Roman" w:hAnsi="Times New Roman"/>
        </w:rPr>
        <w:t>n.d.</w:t>
      </w:r>
      <w:proofErr w:type="spellEnd"/>
      <w:r>
        <w:rPr>
          <w:rFonts w:ascii="Times New Roman" w:hAnsi="Times New Roman"/>
        </w:rPr>
        <w:t xml:space="preserve"> Web.</w:t>
      </w:r>
      <w:proofErr w:type="gramEnd"/>
      <w:r>
        <w:rPr>
          <w:rFonts w:ascii="Times New Roman" w:hAnsi="Times New Roman"/>
        </w:rPr>
        <w:t xml:space="preserve"> 11 Jan. 2017. &lt;https://www.schrodinger.com/about&gt;.</w:t>
      </w:r>
    </w:p>
    <w:p w14:paraId="6EB20727" w14:textId="77777777" w:rsidR="00A3376E" w:rsidRDefault="00A3376E">
      <w:pPr>
        <w:pStyle w:val="Footnote"/>
        <w:rPr>
          <w:rFonts w:ascii="Times New Roman" w:eastAsia="Times New Roman" w:hAnsi="Times New Roman" w:cs="Times New Roman"/>
        </w:rPr>
      </w:pPr>
    </w:p>
    <w:p w14:paraId="3EC951D6" w14:textId="77777777" w:rsidR="00A3376E" w:rsidRDefault="001A20C6">
      <w:pPr>
        <w:pStyle w:val="Footnote"/>
        <w:rPr>
          <w:rFonts w:ascii="Times New Roman" w:eastAsia="Times New Roman" w:hAnsi="Times New Roman" w:cs="Times New Roman"/>
        </w:rPr>
      </w:pPr>
      <w:r>
        <w:rPr>
          <w:rFonts w:ascii="Times New Roman" w:hAnsi="Times New Roman"/>
          <w:vertAlign w:val="superscript"/>
        </w:rPr>
        <w:t>5</w:t>
      </w:r>
      <w:r>
        <w:rPr>
          <w:rFonts w:ascii="Times New Roman" w:hAnsi="Times New Roman"/>
        </w:rPr>
        <w:t xml:space="preserve"> </w:t>
      </w:r>
      <w:proofErr w:type="spellStart"/>
      <w:r>
        <w:rPr>
          <w:rFonts w:ascii="Times New Roman" w:hAnsi="Times New Roman"/>
        </w:rPr>
        <w:t>Piserchio</w:t>
      </w:r>
      <w:proofErr w:type="spellEnd"/>
      <w:r>
        <w:rPr>
          <w:rFonts w:ascii="Times New Roman" w:hAnsi="Times New Roman"/>
        </w:rPr>
        <w:t xml:space="preserve">, Andrea, Abigail Fellows, Dean R. Madden, and Dale F. </w:t>
      </w:r>
      <w:proofErr w:type="spellStart"/>
      <w:r>
        <w:rPr>
          <w:rFonts w:ascii="Times New Roman" w:hAnsi="Times New Roman"/>
        </w:rPr>
        <w:t>Mierke</w:t>
      </w:r>
      <w:proofErr w:type="spellEnd"/>
      <w:r>
        <w:rPr>
          <w:rFonts w:ascii="Times New Roman" w:hAnsi="Times New Roman"/>
        </w:rPr>
        <w:t xml:space="preserve">. "Association of the Cystic Fibrosis </w:t>
      </w:r>
      <w:proofErr w:type="spellStart"/>
      <w:r>
        <w:rPr>
          <w:rFonts w:ascii="Times New Roman" w:hAnsi="Times New Roman"/>
        </w:rPr>
        <w:t>Transmembrane</w:t>
      </w:r>
      <w:proofErr w:type="spellEnd"/>
      <w:r>
        <w:rPr>
          <w:rFonts w:ascii="Times New Roman" w:hAnsi="Times New Roman"/>
        </w:rPr>
        <w:t xml:space="preserve"> Regulator with CAL:  Structural Features and Molecular Dynamics†</w:t>
      </w:r>
      <w:r>
        <w:rPr>
          <w:rFonts w:ascii="Times New Roman" w:hAnsi="Times New Roman"/>
          <w:lang w:val="it-IT"/>
        </w:rPr>
        <w:t xml:space="preserve">." </w:t>
      </w:r>
      <w:proofErr w:type="spellStart"/>
      <w:r>
        <w:rPr>
          <w:rFonts w:ascii="Times New Roman" w:hAnsi="Times New Roman"/>
          <w:lang w:val="it-IT"/>
        </w:rPr>
        <w:t>Biochemistry</w:t>
      </w:r>
      <w:proofErr w:type="spellEnd"/>
      <w:r>
        <w:rPr>
          <w:rFonts w:ascii="Times New Roman" w:hAnsi="Times New Roman"/>
          <w:lang w:val="it-IT"/>
        </w:rPr>
        <w:t xml:space="preserve"> 44.49 (2005): 16158-6166. Web.</w:t>
      </w:r>
    </w:p>
    <w:p w14:paraId="4C556385" w14:textId="77777777" w:rsidR="00A3376E" w:rsidRDefault="00A3376E">
      <w:pPr>
        <w:pStyle w:val="Footnote"/>
        <w:rPr>
          <w:rFonts w:ascii="Times New Roman" w:eastAsia="Times New Roman" w:hAnsi="Times New Roman" w:cs="Times New Roman"/>
        </w:rPr>
      </w:pPr>
    </w:p>
    <w:p w14:paraId="02D7CAEC" w14:textId="77777777" w:rsidR="00A3376E" w:rsidRPr="001A20C6" w:rsidRDefault="001A20C6" w:rsidP="001A20C6">
      <w:pPr>
        <w:pStyle w:val="Footnote"/>
      </w:pPr>
      <w:r>
        <w:rPr>
          <w:rFonts w:ascii="Arial Unicode MS" w:hAnsi="Arial Unicode MS"/>
        </w:rPr>
        <w:br w:type="page"/>
      </w:r>
      <w:r>
        <w:rPr>
          <w:rFonts w:ascii="Times New Roman" w:hAnsi="Times New Roman"/>
          <w:b/>
          <w:bCs/>
          <w:sz w:val="32"/>
          <w:szCs w:val="32"/>
          <w:u w:val="single"/>
        </w:rPr>
        <w:lastRenderedPageBreak/>
        <w:t>Budget</w:t>
      </w:r>
    </w:p>
    <w:p w14:paraId="2B907EE7" w14:textId="77777777" w:rsidR="00A3376E" w:rsidRDefault="00A3376E">
      <w:pPr>
        <w:pStyle w:val="Body"/>
        <w:rPr>
          <w:rFonts w:ascii="Times New Roman" w:eastAsia="Times New Roman" w:hAnsi="Times New Roman" w:cs="Times New Roman"/>
          <w:b/>
          <w:bCs/>
          <w:sz w:val="32"/>
          <w:szCs w:val="32"/>
          <w:u w:val="single"/>
        </w:rPr>
      </w:pPr>
    </w:p>
    <w:tbl>
      <w:tblPr>
        <w:tblW w:w="90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140"/>
        <w:gridCol w:w="2900"/>
        <w:gridCol w:w="3852"/>
        <w:gridCol w:w="1145"/>
      </w:tblGrid>
      <w:tr w:rsidR="007130A7" w14:paraId="5E3B39A6" w14:textId="77777777" w:rsidTr="007130A7">
        <w:trPr>
          <w:trHeight w:val="297"/>
          <w:tblHeader/>
        </w:trPr>
        <w:tc>
          <w:tcPr>
            <w:tcW w:w="11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611C1D" w14:textId="77777777" w:rsidR="00A3376E" w:rsidRDefault="00A3376E"/>
        </w:tc>
        <w:tc>
          <w:tcPr>
            <w:tcW w:w="290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807E37" w14:textId="77777777" w:rsidR="00A3376E" w:rsidRDefault="001A20C6">
            <w:pPr>
              <w:pStyle w:val="TableStyle1"/>
            </w:pPr>
            <w:r>
              <w:rPr>
                <w:rFonts w:ascii="Times New Roman" w:hAnsi="Times New Roman"/>
              </w:rPr>
              <w:t>Name</w:t>
            </w:r>
          </w:p>
        </w:tc>
        <w:tc>
          <w:tcPr>
            <w:tcW w:w="38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770396" w14:textId="77777777" w:rsidR="00A3376E" w:rsidRDefault="001A20C6">
            <w:pPr>
              <w:pStyle w:val="TableStyle1"/>
            </w:pPr>
            <w:r>
              <w:rPr>
                <w:rFonts w:ascii="Times New Roman" w:hAnsi="Times New Roman"/>
              </w:rPr>
              <w:t>Description</w:t>
            </w:r>
          </w:p>
        </w:tc>
        <w:tc>
          <w:tcPr>
            <w:tcW w:w="114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D151C8" w14:textId="77777777" w:rsidR="00A3376E" w:rsidRDefault="001A20C6">
            <w:pPr>
              <w:pStyle w:val="TableStyle1"/>
            </w:pPr>
            <w:r>
              <w:rPr>
                <w:rFonts w:ascii="Times New Roman" w:hAnsi="Times New Roman"/>
              </w:rPr>
              <w:t>Cost</w:t>
            </w:r>
          </w:p>
        </w:tc>
      </w:tr>
      <w:tr w:rsidR="00A3376E" w14:paraId="75009EE0" w14:textId="77777777" w:rsidTr="007130A7">
        <w:tblPrEx>
          <w:shd w:val="clear" w:color="auto" w:fill="auto"/>
        </w:tblPrEx>
        <w:trPr>
          <w:trHeight w:val="1759"/>
        </w:trPr>
        <w:tc>
          <w:tcPr>
            <w:tcW w:w="11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1F86E6" w14:textId="77777777" w:rsidR="00A3376E" w:rsidRDefault="001A20C6">
            <w:pPr>
              <w:pStyle w:val="TableStyle1"/>
            </w:pPr>
            <w:r>
              <w:rPr>
                <w:rFonts w:ascii="Times New Roman" w:hAnsi="Times New Roman"/>
                <w:sz w:val="22"/>
                <w:szCs w:val="22"/>
              </w:rPr>
              <w:t>Software</w:t>
            </w:r>
          </w:p>
        </w:tc>
        <w:tc>
          <w:tcPr>
            <w:tcW w:w="290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86E71E" w14:textId="77777777" w:rsidR="00A3376E" w:rsidRDefault="001A20C6">
            <w:pPr>
              <w:pStyle w:val="TableStyle2"/>
            </w:pPr>
            <w:r>
              <w:rPr>
                <w:rFonts w:ascii="Times New Roman" w:hAnsi="Times New Roman"/>
                <w:b/>
                <w:bCs/>
                <w:sz w:val="22"/>
                <w:szCs w:val="22"/>
              </w:rPr>
              <w:t>Schrödinger Small Molecule Discovery Suite</w:t>
            </w:r>
          </w:p>
        </w:tc>
        <w:tc>
          <w:tcPr>
            <w:tcW w:w="385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5D4144" w14:textId="77777777" w:rsidR="00A3376E" w:rsidRDefault="001A20C6">
            <w:pPr>
              <w:pStyle w:val="Body"/>
            </w:pPr>
            <w:r>
              <w:rPr>
                <w:rFonts w:ascii="Times New Roman" w:hAnsi="Times New Roman"/>
                <w:sz w:val="20"/>
                <w:szCs w:val="20"/>
              </w:rPr>
              <w:t xml:space="preserve">Gives access to </w:t>
            </w:r>
            <w:proofErr w:type="spellStart"/>
            <w:r>
              <w:rPr>
                <w:rFonts w:ascii="Times New Roman" w:hAnsi="Times New Roman"/>
                <w:sz w:val="20"/>
                <w:szCs w:val="20"/>
              </w:rPr>
              <w:t>AutoQSAR</w:t>
            </w:r>
            <w:proofErr w:type="spellEnd"/>
            <w:r>
              <w:rPr>
                <w:rFonts w:ascii="Times New Roman" w:hAnsi="Times New Roman"/>
                <w:sz w:val="20"/>
                <w:szCs w:val="20"/>
              </w:rPr>
              <w:t xml:space="preserve">, Canvas, </w:t>
            </w:r>
            <w:proofErr w:type="spellStart"/>
            <w:r>
              <w:rPr>
                <w:rFonts w:ascii="Times New Roman" w:hAnsi="Times New Roman"/>
                <w:sz w:val="20"/>
                <w:szCs w:val="20"/>
              </w:rPr>
              <w:t>ConfGen</w:t>
            </w:r>
            <w:proofErr w:type="spellEnd"/>
            <w:r>
              <w:rPr>
                <w:rFonts w:ascii="Times New Roman" w:hAnsi="Times New Roman"/>
                <w:sz w:val="20"/>
                <w:szCs w:val="20"/>
              </w:rPr>
              <w:t xml:space="preserve">, Core Hopping, Desmond, </w:t>
            </w:r>
            <w:proofErr w:type="spellStart"/>
            <w:r>
              <w:rPr>
                <w:rFonts w:ascii="Times New Roman" w:hAnsi="Times New Roman"/>
                <w:sz w:val="20"/>
                <w:szCs w:val="20"/>
              </w:rPr>
              <w:t>Epik</w:t>
            </w:r>
            <w:proofErr w:type="spellEnd"/>
            <w:r>
              <w:rPr>
                <w:rFonts w:ascii="Times New Roman" w:hAnsi="Times New Roman"/>
                <w:sz w:val="20"/>
                <w:szCs w:val="20"/>
              </w:rPr>
              <w:t xml:space="preserve">, Field-based QSAR, Glide, Jaguar, Jaguar </w:t>
            </w:r>
            <w:proofErr w:type="spellStart"/>
            <w:r>
              <w:rPr>
                <w:rFonts w:ascii="Times New Roman" w:hAnsi="Times New Roman"/>
                <w:sz w:val="20"/>
                <w:szCs w:val="20"/>
              </w:rPr>
              <w:t>pKa</w:t>
            </w:r>
            <w:proofErr w:type="spellEnd"/>
            <w:r>
              <w:rPr>
                <w:rFonts w:ascii="Times New Roman" w:hAnsi="Times New Roman"/>
                <w:sz w:val="20"/>
                <w:szCs w:val="20"/>
              </w:rPr>
              <w:t xml:space="preserve">, </w:t>
            </w:r>
            <w:proofErr w:type="spellStart"/>
            <w:r>
              <w:rPr>
                <w:rFonts w:ascii="Times New Roman" w:hAnsi="Times New Roman"/>
                <w:sz w:val="20"/>
                <w:szCs w:val="20"/>
              </w:rPr>
              <w:t>LigPrep</w:t>
            </w:r>
            <w:proofErr w:type="spellEnd"/>
            <w:r>
              <w:rPr>
                <w:rFonts w:ascii="Times New Roman" w:hAnsi="Times New Roman"/>
                <w:sz w:val="20"/>
                <w:szCs w:val="20"/>
              </w:rPr>
              <w:t xml:space="preserve">, </w:t>
            </w:r>
            <w:proofErr w:type="spellStart"/>
            <w:r>
              <w:rPr>
                <w:rFonts w:ascii="Times New Roman" w:hAnsi="Times New Roman"/>
                <w:sz w:val="20"/>
                <w:szCs w:val="20"/>
              </w:rPr>
              <w:t>MacroModel</w:t>
            </w:r>
            <w:proofErr w:type="spellEnd"/>
            <w:r>
              <w:rPr>
                <w:rFonts w:ascii="Times New Roman" w:hAnsi="Times New Roman"/>
                <w:sz w:val="20"/>
                <w:szCs w:val="20"/>
              </w:rPr>
              <w:t xml:space="preserve">, Phase, Shape Screening, Prime, </w:t>
            </w:r>
            <w:proofErr w:type="spellStart"/>
            <w:r>
              <w:rPr>
                <w:rFonts w:ascii="Times New Roman" w:hAnsi="Times New Roman"/>
                <w:sz w:val="20"/>
                <w:szCs w:val="20"/>
              </w:rPr>
              <w:t>PrimeX</w:t>
            </w:r>
            <w:proofErr w:type="spellEnd"/>
            <w:r>
              <w:rPr>
                <w:rFonts w:ascii="Times New Roman" w:hAnsi="Times New Roman"/>
                <w:sz w:val="20"/>
                <w:szCs w:val="20"/>
              </w:rPr>
              <w:t xml:space="preserve">, </w:t>
            </w:r>
            <w:proofErr w:type="spellStart"/>
            <w:r>
              <w:rPr>
                <w:rFonts w:ascii="Times New Roman" w:hAnsi="Times New Roman"/>
                <w:sz w:val="20"/>
                <w:szCs w:val="20"/>
              </w:rPr>
              <w:t>QikProp</w:t>
            </w:r>
            <w:proofErr w:type="spellEnd"/>
            <w:r>
              <w:rPr>
                <w:rFonts w:ascii="Times New Roman" w:hAnsi="Times New Roman"/>
                <w:sz w:val="20"/>
                <w:szCs w:val="20"/>
              </w:rPr>
              <w:t xml:space="preserve">, </w:t>
            </w:r>
            <w:proofErr w:type="spellStart"/>
            <w:r>
              <w:rPr>
                <w:rFonts w:ascii="Times New Roman" w:hAnsi="Times New Roman"/>
                <w:sz w:val="20"/>
                <w:szCs w:val="20"/>
              </w:rPr>
              <w:t>QSite</w:t>
            </w:r>
            <w:proofErr w:type="spellEnd"/>
            <w:r>
              <w:rPr>
                <w:rFonts w:ascii="Times New Roman" w:hAnsi="Times New Roman"/>
                <w:sz w:val="20"/>
                <w:szCs w:val="20"/>
              </w:rPr>
              <w:t xml:space="preserve">, </w:t>
            </w:r>
            <w:proofErr w:type="spellStart"/>
            <w:r>
              <w:rPr>
                <w:rFonts w:ascii="Times New Roman" w:hAnsi="Times New Roman"/>
                <w:sz w:val="20"/>
                <w:szCs w:val="20"/>
              </w:rPr>
              <w:t>SiteMap</w:t>
            </w:r>
            <w:proofErr w:type="spellEnd"/>
            <w:r>
              <w:rPr>
                <w:rFonts w:ascii="Times New Roman" w:hAnsi="Times New Roman"/>
                <w:sz w:val="20"/>
                <w:szCs w:val="20"/>
              </w:rPr>
              <w:t>, Strike, and XP Visualize. Additionally it gives us the ability to run multiple docking jobs at a time to parallelize the process of virtual screening.</w:t>
            </w:r>
          </w:p>
        </w:tc>
        <w:tc>
          <w:tcPr>
            <w:tcW w:w="114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9D9F99" w14:textId="53356771" w:rsidR="00A3376E" w:rsidRDefault="007130A7">
            <w:pPr>
              <w:jc w:val="right"/>
            </w:pPr>
            <w:r>
              <w:rPr>
                <w:rFonts w:cs="Arial Unicode MS"/>
                <w:color w:val="000000"/>
                <w:sz w:val="20"/>
                <w:szCs w:val="20"/>
              </w:rPr>
              <w:t>$‎</w:t>
            </w:r>
            <w:r w:rsidR="001A20C6">
              <w:rPr>
                <w:rFonts w:cs="Arial Unicode MS"/>
                <w:color w:val="000000"/>
                <w:sz w:val="20"/>
                <w:szCs w:val="20"/>
              </w:rPr>
              <w:t>7,500.00</w:t>
            </w:r>
          </w:p>
        </w:tc>
      </w:tr>
      <w:tr w:rsidR="007130A7" w14:paraId="4E4514A6" w14:textId="77777777" w:rsidTr="007130A7">
        <w:tblPrEx>
          <w:shd w:val="clear" w:color="auto" w:fill="auto"/>
        </w:tblPrEx>
        <w:trPr>
          <w:trHeight w:val="1537"/>
        </w:trPr>
        <w:tc>
          <w:tcPr>
            <w:tcW w:w="11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3DBDF9A" w14:textId="77777777" w:rsidR="00A3376E" w:rsidRDefault="001A20C6">
            <w:pPr>
              <w:pStyle w:val="TableStyle1"/>
            </w:pPr>
            <w:r>
              <w:rPr>
                <w:rFonts w:ascii="Times New Roman" w:hAnsi="Times New Roman"/>
                <w:sz w:val="22"/>
                <w:szCs w:val="22"/>
              </w:rPr>
              <w:t>Hardware</w:t>
            </w:r>
          </w:p>
        </w:tc>
        <w:tc>
          <w:tcPr>
            <w:tcW w:w="290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1DE3E6" w14:textId="77777777" w:rsidR="00A3376E" w:rsidRDefault="001A20C6">
            <w:pPr>
              <w:pStyle w:val="TableStyle2"/>
            </w:pPr>
            <w:r>
              <w:rPr>
                <w:rFonts w:ascii="Times New Roman" w:hAnsi="Times New Roman"/>
                <w:b/>
                <w:bCs/>
                <w:sz w:val="22"/>
                <w:szCs w:val="22"/>
              </w:rPr>
              <w:t>Dartmouth Discover Computing Cluster Node</w:t>
            </w:r>
          </w:p>
        </w:tc>
        <w:tc>
          <w:tcPr>
            <w:tcW w:w="38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BCB6F0" w14:textId="77777777" w:rsidR="00A3376E" w:rsidRDefault="001A20C6">
            <w:pPr>
              <w:pStyle w:val="TableStyle2"/>
            </w:pPr>
            <w:r>
              <w:rPr>
                <w:rFonts w:ascii="Times New Roman" w:hAnsi="Times New Roman"/>
              </w:rPr>
              <w:t xml:space="preserve">Gives access to a 16 core, 64G Ram, 1TB hard drive </w:t>
            </w:r>
            <w:proofErr w:type="spellStart"/>
            <w:r>
              <w:rPr>
                <w:rFonts w:ascii="Times New Roman" w:hAnsi="Times New Roman"/>
              </w:rPr>
              <w:t>unix</w:t>
            </w:r>
            <w:proofErr w:type="spellEnd"/>
            <w:r>
              <w:rPr>
                <w:rFonts w:ascii="Times New Roman" w:hAnsi="Times New Roman"/>
              </w:rPr>
              <w:t xml:space="preserve"> node on the computing cluster. Assuming available resources, we can use up to four times the computing space purchased. This computing power should be able to handle the enormous amount of computing time required to dock these molecules. </w:t>
            </w:r>
          </w:p>
        </w:tc>
        <w:tc>
          <w:tcPr>
            <w:tcW w:w="1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2DA80" w14:textId="7C8119CC" w:rsidR="00A3376E" w:rsidRDefault="007130A7">
            <w:pPr>
              <w:jc w:val="right"/>
            </w:pPr>
            <w:r>
              <w:rPr>
                <w:rFonts w:cs="Arial Unicode MS"/>
                <w:color w:val="000000"/>
                <w:sz w:val="20"/>
                <w:szCs w:val="20"/>
              </w:rPr>
              <w:t>$‎</w:t>
            </w:r>
            <w:r w:rsidR="001A20C6">
              <w:rPr>
                <w:rFonts w:cs="Arial Unicode MS"/>
                <w:color w:val="000000"/>
                <w:sz w:val="20"/>
                <w:szCs w:val="20"/>
              </w:rPr>
              <w:t>4,900.00</w:t>
            </w:r>
          </w:p>
        </w:tc>
      </w:tr>
      <w:tr w:rsidR="00A3376E" w14:paraId="20211460" w14:textId="77777777" w:rsidTr="007130A7">
        <w:tblPrEx>
          <w:shd w:val="clear" w:color="auto" w:fill="auto"/>
        </w:tblPrEx>
        <w:trPr>
          <w:trHeight w:val="1097"/>
        </w:trPr>
        <w:tc>
          <w:tcPr>
            <w:tcW w:w="11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360E54" w14:textId="77777777" w:rsidR="00A3376E" w:rsidRDefault="001A20C6">
            <w:pPr>
              <w:pStyle w:val="TableStyle1"/>
            </w:pPr>
            <w:proofErr w:type="spellStart"/>
            <w:r>
              <w:rPr>
                <w:rFonts w:ascii="Times New Roman" w:hAnsi="Times New Roman"/>
                <w:sz w:val="22"/>
                <w:szCs w:val="22"/>
              </w:rPr>
              <w:t>Personell</w:t>
            </w:r>
            <w:proofErr w:type="spellEnd"/>
          </w:p>
        </w:tc>
        <w:tc>
          <w:tcPr>
            <w:tcW w:w="290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D092A4" w14:textId="77777777" w:rsidR="00A3376E" w:rsidRDefault="001A20C6">
            <w:pPr>
              <w:pStyle w:val="TableStyle2"/>
            </w:pPr>
            <w:r>
              <w:rPr>
                <w:rFonts w:ascii="Times New Roman" w:hAnsi="Times New Roman"/>
                <w:b/>
                <w:bCs/>
                <w:sz w:val="22"/>
                <w:szCs w:val="22"/>
              </w:rPr>
              <w:t>One Undergraduate Biochemistry Research Assistant</w:t>
            </w:r>
          </w:p>
        </w:tc>
        <w:tc>
          <w:tcPr>
            <w:tcW w:w="38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968D86" w14:textId="77777777" w:rsidR="00A3376E" w:rsidRDefault="001A20C6">
            <w:pPr>
              <w:pStyle w:val="TableStyle2"/>
            </w:pPr>
            <w:r>
              <w:rPr>
                <w:rFonts w:ascii="Times New Roman" w:hAnsi="Times New Roman"/>
              </w:rPr>
              <w:t>Paid $15/</w:t>
            </w:r>
            <w:proofErr w:type="spellStart"/>
            <w:r>
              <w:rPr>
                <w:rFonts w:ascii="Times New Roman" w:hAnsi="Times New Roman"/>
              </w:rPr>
              <w:t>hr</w:t>
            </w:r>
            <w:proofErr w:type="spellEnd"/>
            <w:r>
              <w:rPr>
                <w:rFonts w:ascii="Times New Roman" w:hAnsi="Times New Roman"/>
              </w:rPr>
              <w:t xml:space="preserve"> X 20 hours per week X 40 weeks for the year (4 Dartmouth terms). Responsible for all computational development, execution, and monitoring. </w:t>
            </w:r>
            <w:proofErr w:type="gramStart"/>
            <w:r>
              <w:rPr>
                <w:rFonts w:ascii="Times New Roman" w:hAnsi="Times New Roman"/>
              </w:rPr>
              <w:t>Lead compounds will be synthesized by others</w:t>
            </w:r>
            <w:proofErr w:type="gramEnd"/>
            <w:r>
              <w:rPr>
                <w:rFonts w:ascii="Times New Roman" w:hAnsi="Times New Roman"/>
              </w:rPr>
              <w:t>.</w:t>
            </w:r>
          </w:p>
        </w:tc>
        <w:tc>
          <w:tcPr>
            <w:tcW w:w="11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00F8A" w14:textId="2905DE43" w:rsidR="00A3376E" w:rsidRDefault="007130A7">
            <w:pPr>
              <w:jc w:val="right"/>
            </w:pPr>
            <w:r>
              <w:rPr>
                <w:rFonts w:cs="Arial Unicode MS"/>
                <w:color w:val="000000"/>
                <w:sz w:val="20"/>
                <w:szCs w:val="20"/>
              </w:rPr>
              <w:t>$‎</w:t>
            </w:r>
            <w:r w:rsidR="001A20C6">
              <w:rPr>
                <w:rFonts w:cs="Arial Unicode MS"/>
                <w:color w:val="000000"/>
                <w:sz w:val="20"/>
                <w:szCs w:val="20"/>
              </w:rPr>
              <w:t>12,000.00</w:t>
            </w:r>
          </w:p>
        </w:tc>
      </w:tr>
      <w:tr w:rsidR="007130A7" w14:paraId="01DBC2D0" w14:textId="77777777" w:rsidTr="007130A7">
        <w:tblPrEx>
          <w:shd w:val="clear" w:color="auto" w:fill="auto"/>
        </w:tblPrEx>
        <w:trPr>
          <w:trHeight w:val="279"/>
        </w:trPr>
        <w:tc>
          <w:tcPr>
            <w:tcW w:w="11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17684A" w14:textId="77777777" w:rsidR="00A3376E" w:rsidRDefault="001A20C6">
            <w:pPr>
              <w:pStyle w:val="TableStyle1"/>
            </w:pPr>
            <w:r>
              <w:rPr>
                <w:rFonts w:ascii="Times New Roman" w:hAnsi="Times New Roman"/>
                <w:sz w:val="22"/>
                <w:szCs w:val="22"/>
              </w:rPr>
              <w:t>Total</w:t>
            </w:r>
          </w:p>
        </w:tc>
        <w:tc>
          <w:tcPr>
            <w:tcW w:w="290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08A851" w14:textId="77777777" w:rsidR="00A3376E" w:rsidRDefault="00A3376E"/>
        </w:tc>
        <w:tc>
          <w:tcPr>
            <w:tcW w:w="38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2DDF34" w14:textId="77777777" w:rsidR="00A3376E" w:rsidRDefault="00A3376E"/>
        </w:tc>
        <w:tc>
          <w:tcPr>
            <w:tcW w:w="11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D89513" w14:textId="034DE8F1" w:rsidR="00A3376E" w:rsidRDefault="001A20C6">
            <w:pPr>
              <w:jc w:val="right"/>
            </w:pPr>
            <w:r>
              <w:fldChar w:fldCharType="begin"/>
            </w:r>
            <w:r>
              <w:instrText xml:space="preserve"> = SUM(D2:D4) \# "USD ,0.00" \* MERGEFORMAT</w:instrText>
            </w:r>
            <w:r>
              <w:fldChar w:fldCharType="separate"/>
            </w:r>
            <w:r w:rsidR="007130A7">
              <w:rPr>
                <w:rFonts w:cs="Arial Unicode MS"/>
                <w:color w:val="000000"/>
                <w:sz w:val="20"/>
                <w:szCs w:val="20"/>
              </w:rPr>
              <w:t>$‎</w:t>
            </w:r>
            <w:r>
              <w:rPr>
                <w:rFonts w:cs="Arial Unicode MS"/>
                <w:color w:val="000000"/>
                <w:sz w:val="20"/>
                <w:szCs w:val="20"/>
              </w:rPr>
              <w:t>24,400.00</w:t>
            </w:r>
            <w:r>
              <w:fldChar w:fldCharType="end"/>
            </w:r>
          </w:p>
        </w:tc>
      </w:tr>
    </w:tbl>
    <w:p w14:paraId="66CD4EEC" w14:textId="77777777" w:rsidR="00A3376E" w:rsidRDefault="00A3376E">
      <w:pPr>
        <w:pStyle w:val="Body"/>
      </w:pPr>
      <w:bookmarkStart w:id="0" w:name="_GoBack"/>
      <w:bookmarkEnd w:id="0"/>
    </w:p>
    <w:sectPr w:rsidR="00A3376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8065B" w14:textId="77777777" w:rsidR="00AF6FE1" w:rsidRDefault="001A20C6">
      <w:r>
        <w:separator/>
      </w:r>
    </w:p>
  </w:endnote>
  <w:endnote w:type="continuationSeparator" w:id="0">
    <w:p w14:paraId="3B259012" w14:textId="77777777" w:rsidR="00AF6FE1" w:rsidRDefault="001A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4E"/>
    <w:family w:val="auto"/>
    <w:pitch w:val="variable"/>
    <w:sig w:usb0="F7FFAFFF" w:usb1="E9DFFFFF" w:usb2="0000003F"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9E73" w14:textId="77777777" w:rsidR="00A3376E" w:rsidRDefault="00A3376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40B09" w14:textId="77777777" w:rsidR="00AF6FE1" w:rsidRDefault="001A20C6">
      <w:r>
        <w:separator/>
      </w:r>
    </w:p>
  </w:footnote>
  <w:footnote w:type="continuationSeparator" w:id="0">
    <w:p w14:paraId="0A418B43" w14:textId="77777777" w:rsidR="00AF6FE1" w:rsidRDefault="001A20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C28D9" w14:textId="77777777" w:rsidR="00A3376E" w:rsidRDefault="00A337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3376E"/>
    <w:rsid w:val="001A20C6"/>
    <w:rsid w:val="007130A7"/>
    <w:rsid w:val="00A3376E"/>
    <w:rsid w:val="00AF6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2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hAnsi="Helvetica" w:cs="Arial Unicode MS"/>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hAnsi="Helvetica" w:cs="Arial Unicode MS"/>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1491</Words>
  <Characters>8505</Characters>
  <Application>Microsoft Macintosh Word</Application>
  <DocSecurity>0</DocSecurity>
  <Lines>70</Lines>
  <Paragraphs>19</Paragraphs>
  <ScaleCrop>false</ScaleCrop>
  <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Crampton</cp:lastModifiedBy>
  <cp:revision>3</cp:revision>
  <cp:lastPrinted>2017-01-11T20:47:00Z</cp:lastPrinted>
  <dcterms:created xsi:type="dcterms:W3CDTF">2017-01-11T20:44:00Z</dcterms:created>
  <dcterms:modified xsi:type="dcterms:W3CDTF">2017-01-11T20:47:00Z</dcterms:modified>
</cp:coreProperties>
</file>