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467B" w14:textId="1CBA0352" w:rsidR="00F23B3B" w:rsidRPr="00922359" w:rsidRDefault="004D7CAB" w:rsidP="005511DA">
      <w:pPr>
        <w:spacing w:after="120"/>
        <w:jc w:val="center"/>
        <w:rPr>
          <w:rFonts w:ascii="The Sans" w:hAnsi="The Sans"/>
          <w:b/>
          <w:color w:val="1F3864"/>
          <w:sz w:val="32"/>
          <w:szCs w:val="32"/>
        </w:rPr>
      </w:pPr>
      <w:r w:rsidRPr="00922359">
        <w:rPr>
          <w:rFonts w:ascii="The Sans" w:hAnsi="The Sans"/>
          <w:b/>
          <w:bCs/>
          <w:color w:val="1F3864"/>
          <w:sz w:val="32"/>
          <w:szCs w:val="32"/>
        </w:rPr>
        <w:t xml:space="preserve">Proposta de revisão </w:t>
      </w:r>
      <w:r w:rsidR="00506BD3" w:rsidRPr="00922359">
        <w:rPr>
          <w:rFonts w:ascii="The Sans" w:hAnsi="The Sans"/>
          <w:b/>
          <w:bCs/>
          <w:color w:val="1F3864"/>
          <w:sz w:val="32"/>
          <w:szCs w:val="32"/>
        </w:rPr>
        <w:t xml:space="preserve">da </w:t>
      </w:r>
      <w:r w:rsidRPr="00922359">
        <w:rPr>
          <w:rFonts w:ascii="The Sans" w:hAnsi="The Sans"/>
          <w:b/>
          <w:bCs/>
          <w:color w:val="1F3864"/>
          <w:sz w:val="32"/>
          <w:szCs w:val="32"/>
        </w:rPr>
        <w:t xml:space="preserve">Teoria da Mudança e </w:t>
      </w:r>
      <w:r w:rsidR="00010F71" w:rsidRPr="00922359">
        <w:rPr>
          <w:rFonts w:ascii="The Sans" w:hAnsi="The Sans"/>
          <w:b/>
          <w:bCs/>
          <w:color w:val="1F3864"/>
          <w:sz w:val="32"/>
          <w:szCs w:val="32"/>
        </w:rPr>
        <w:t>Indicadores</w:t>
      </w:r>
    </w:p>
    <w:p w14:paraId="289B467C" w14:textId="77777777" w:rsidR="00F23B3B" w:rsidRPr="007834F9" w:rsidRDefault="004D7CAB" w:rsidP="00C33EBB">
      <w:pPr>
        <w:spacing w:after="80"/>
        <w:jc w:val="center"/>
        <w:rPr>
          <w:rFonts w:ascii="The Sans" w:hAnsi="The Sans"/>
          <w:color w:val="404040"/>
          <w:sz w:val="28"/>
          <w:szCs w:val="22"/>
        </w:rPr>
      </w:pPr>
      <w:r w:rsidRPr="007834F9">
        <w:rPr>
          <w:rFonts w:ascii="The Sans" w:hAnsi="The Sans"/>
          <w:color w:val="404040"/>
          <w:sz w:val="28"/>
          <w:szCs w:val="22"/>
        </w:rPr>
        <w:t>Programa Trias DGD 2027–2031 Brasil</w:t>
      </w:r>
    </w:p>
    <w:p w14:paraId="5FC6BC9D" w14:textId="16F0CD6D" w:rsidR="006F6B1A" w:rsidRPr="007834F9" w:rsidRDefault="00A8581E" w:rsidP="00916C74">
      <w:pPr>
        <w:spacing w:before="80"/>
        <w:jc w:val="center"/>
        <w:rPr>
          <w:rFonts w:ascii="The Sans" w:hAnsi="The Sans"/>
          <w:i/>
          <w:color w:val="595959"/>
          <w:sz w:val="22"/>
          <w:szCs w:val="22"/>
        </w:rPr>
      </w:pPr>
      <w:r w:rsidRPr="007834F9">
        <w:rPr>
          <w:rFonts w:ascii="The Sans" w:hAnsi="The Sans"/>
          <w:i/>
          <w:color w:val="595959"/>
          <w:sz w:val="22"/>
          <w:szCs w:val="22"/>
        </w:rPr>
        <w:t>15 de maio de 2026</w:t>
      </w:r>
    </w:p>
    <w:p w14:paraId="62CF06D7" w14:textId="1E16309B" w:rsidR="006F6B1A" w:rsidRPr="007834F9" w:rsidRDefault="006F6B1A" w:rsidP="00C33EBB">
      <w:pPr>
        <w:pStyle w:val="PargrafodaLista"/>
        <w:numPr>
          <w:ilvl w:val="0"/>
          <w:numId w:val="7"/>
        </w:numPr>
        <w:spacing w:before="360" w:after="160"/>
        <w:rPr>
          <w:rFonts w:ascii="The Sans" w:hAnsi="The Sans"/>
          <w:b/>
          <w:bCs/>
          <w:color w:val="1F3864"/>
          <w:sz w:val="28"/>
          <w:szCs w:val="22"/>
        </w:rPr>
      </w:pPr>
      <w:r w:rsidRPr="007834F9">
        <w:rPr>
          <w:rFonts w:ascii="The Sans" w:hAnsi="The Sans"/>
          <w:b/>
          <w:bCs/>
          <w:color w:val="1F3864"/>
          <w:sz w:val="28"/>
          <w:szCs w:val="22"/>
        </w:rPr>
        <w:t>Entendimento da demanda</w:t>
      </w:r>
    </w:p>
    <w:p w14:paraId="4B2E9F2E" w14:textId="52F46FAC" w:rsidR="006F6B1A" w:rsidRPr="007834F9" w:rsidRDefault="006F6B1A" w:rsidP="00010F71">
      <w:p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Na reunião realizada em 15 de maio de 2026, a direção Brasil e a direção regional América do Sul solicitaram uma revisão da Teoria da Mudança e dos indicadores do programa DGD 2027–2031 com o objetivo de </w:t>
      </w:r>
      <w:r w:rsidRPr="007834F9">
        <w:rPr>
          <w:rFonts w:ascii="The Sans" w:hAnsi="The Sans"/>
          <w:bCs/>
          <w:sz w:val="22"/>
          <w:szCs w:val="22"/>
        </w:rPr>
        <w:t>melhorar</w:t>
      </w:r>
      <w:r w:rsidRPr="007834F9">
        <w:rPr>
          <w:rFonts w:ascii="The Sans" w:hAnsi="The Sans"/>
          <w:sz w:val="22"/>
          <w:szCs w:val="22"/>
        </w:rPr>
        <w:t xml:space="preserve"> e fortalecer, sem a necessidade de revisar a nota estratégica já construída. O pedido se ancora num reposicionamento da Trias como </w:t>
      </w:r>
      <w:r w:rsidRPr="007834F9">
        <w:rPr>
          <w:rFonts w:ascii="The Sans" w:hAnsi="The Sans"/>
          <w:bCs/>
          <w:sz w:val="22"/>
          <w:szCs w:val="22"/>
        </w:rPr>
        <w:t>facilitador</w:t>
      </w:r>
      <w:r w:rsidRPr="007834F9">
        <w:rPr>
          <w:rFonts w:ascii="The Sans" w:hAnsi="The Sans"/>
          <w:sz w:val="22"/>
          <w:szCs w:val="22"/>
        </w:rPr>
        <w:t xml:space="preserve"> e </w:t>
      </w:r>
      <w:r w:rsidRPr="00F706CB">
        <w:rPr>
          <w:rFonts w:ascii="The Sans" w:hAnsi="The Sans"/>
          <w:bCs/>
          <w:i/>
          <w:iCs/>
          <w:sz w:val="22"/>
          <w:szCs w:val="22"/>
        </w:rPr>
        <w:t>hub</w:t>
      </w:r>
      <w:r w:rsidRPr="007834F9">
        <w:rPr>
          <w:rFonts w:ascii="The Sans" w:hAnsi="The Sans"/>
          <w:sz w:val="22"/>
          <w:szCs w:val="22"/>
        </w:rPr>
        <w:t xml:space="preserve"> de soluções para o ecossistema das organizações de base, conectando MBOs a parceiros estratégicos, mostrando o valor agregado da Trias e assumindo um papel mais protagonista. Esse reposicionamento é um "</w:t>
      </w:r>
      <w:r w:rsidRPr="00934C30">
        <w:rPr>
          <w:rFonts w:ascii="The Sans" w:hAnsi="The Sans"/>
          <w:i/>
          <w:iCs/>
          <w:sz w:val="22"/>
          <w:szCs w:val="22"/>
        </w:rPr>
        <w:t>all in</w:t>
      </w:r>
      <w:r w:rsidRPr="007834F9">
        <w:rPr>
          <w:rFonts w:ascii="The Sans" w:hAnsi="The Sans"/>
          <w:sz w:val="22"/>
          <w:szCs w:val="22"/>
        </w:rPr>
        <w:t>", refletido no maior investimento na equipe local.</w:t>
      </w:r>
    </w:p>
    <w:p w14:paraId="2FFF77C2" w14:textId="77777777" w:rsidR="006F6B1A" w:rsidRPr="007834F9" w:rsidRDefault="006F6B1A" w:rsidP="00010F71">
      <w:p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Três escolhas estratégicas orientam a revisão: </w:t>
      </w:r>
    </w:p>
    <w:p w14:paraId="0C417C37" w14:textId="77777777" w:rsidR="006F6B1A" w:rsidRPr="007834F9" w:rsidRDefault="006F6B1A" w:rsidP="00010F71">
      <w:pPr>
        <w:pStyle w:val="PargrafodaLista"/>
        <w:numPr>
          <w:ilvl w:val="0"/>
          <w:numId w:val="5"/>
        </w:num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o corredor amazônico como tema central, por conectar os três países da região e por concentrar desafios comuns (com nomes diferentes em cada país); </w:t>
      </w:r>
    </w:p>
    <w:p w14:paraId="0864DE3C" w14:textId="77777777" w:rsidR="006F6B1A" w:rsidRPr="007834F9" w:rsidRDefault="006F6B1A" w:rsidP="00010F71">
      <w:pPr>
        <w:pStyle w:val="PargrafodaLista"/>
        <w:numPr>
          <w:ilvl w:val="0"/>
          <w:numId w:val="5"/>
        </w:num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bioeconomia e cooperativismo como temáticas prioritárias associadas; e </w:t>
      </w:r>
    </w:p>
    <w:p w14:paraId="5D4833BA" w14:textId="3BFAE6F0" w:rsidR="006F6B1A" w:rsidRPr="007834F9" w:rsidRDefault="006F6B1A" w:rsidP="00010F71">
      <w:pPr>
        <w:pStyle w:val="PargrafodaLista"/>
        <w:numPr>
          <w:ilvl w:val="0"/>
          <w:numId w:val="5"/>
        </w:num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o fortalecimento do vínculo com o setor privado como uma frente que precisa ganhar peso na lógica do programa. </w:t>
      </w:r>
    </w:p>
    <w:p w14:paraId="0336E61C" w14:textId="3771DD15" w:rsidR="006F6B1A" w:rsidRPr="00934C30" w:rsidRDefault="00934C30" w:rsidP="00934C30">
      <w:pPr>
        <w:spacing w:before="80" w:after="120"/>
        <w:jc w:val="both"/>
        <w:rPr>
          <w:rFonts w:ascii="The Sans" w:hAnsi="The Sans"/>
          <w:sz w:val="22"/>
          <w:szCs w:val="22"/>
        </w:rPr>
      </w:pPr>
      <w:r>
        <w:rPr>
          <w:rFonts w:ascii="The Sans" w:hAnsi="The Sans"/>
          <w:sz w:val="22"/>
          <w:szCs w:val="22"/>
        </w:rPr>
        <w:t>No entendimento da demanda</w:t>
      </w:r>
      <w:r w:rsidR="006F6B1A" w:rsidRPr="007834F9">
        <w:rPr>
          <w:rFonts w:ascii="The Sans" w:hAnsi="The Sans"/>
          <w:sz w:val="22"/>
          <w:szCs w:val="22"/>
        </w:rPr>
        <w:t xml:space="preserve">, trata-se de "escolher as batalhas práticas e passíveis de serem vencidas", em vez de pulverizar esforços. </w:t>
      </w:r>
    </w:p>
    <w:p w14:paraId="4A127189" w14:textId="54AE6E96" w:rsidR="004D50E0" w:rsidRPr="007834F9" w:rsidRDefault="004D50E0" w:rsidP="00C33EBB">
      <w:pPr>
        <w:pStyle w:val="PargrafodaLista"/>
        <w:numPr>
          <w:ilvl w:val="0"/>
          <w:numId w:val="7"/>
        </w:numPr>
        <w:spacing w:before="360" w:after="160"/>
        <w:rPr>
          <w:rFonts w:ascii="The Sans" w:hAnsi="The Sans"/>
          <w:b/>
          <w:bCs/>
          <w:color w:val="1F3864"/>
          <w:sz w:val="28"/>
          <w:szCs w:val="22"/>
        </w:rPr>
      </w:pPr>
      <w:r w:rsidRPr="007834F9">
        <w:rPr>
          <w:rFonts w:ascii="The Sans" w:hAnsi="The Sans"/>
          <w:b/>
          <w:bCs/>
          <w:color w:val="1F3864"/>
          <w:sz w:val="28"/>
          <w:szCs w:val="22"/>
        </w:rPr>
        <w:t>Revisão documental</w:t>
      </w:r>
    </w:p>
    <w:p w14:paraId="158D5DE4" w14:textId="32BB4D70" w:rsidR="004D50E0" w:rsidRPr="007834F9" w:rsidRDefault="004D50E0" w:rsidP="00010F71">
      <w:p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Em paralelo ao pedido da direção, realizei uma revisão documental dos três arquivos </w:t>
      </w:r>
      <w:r w:rsidR="00934C30">
        <w:rPr>
          <w:rFonts w:ascii="The Sans" w:hAnsi="The Sans"/>
          <w:sz w:val="22"/>
          <w:szCs w:val="22"/>
        </w:rPr>
        <w:t xml:space="preserve">selecionados </w:t>
      </w:r>
      <w:r w:rsidRPr="007834F9">
        <w:rPr>
          <w:rFonts w:ascii="The Sans" w:hAnsi="The Sans"/>
          <w:sz w:val="22"/>
          <w:szCs w:val="22"/>
        </w:rPr>
        <w:t xml:space="preserve">(Annex 1 da Teoria da Mudança, narrative DGD e planilha de outcomes/outputs/indicadores). A revisão identificou pontos que </w:t>
      </w:r>
      <w:r w:rsidR="00934C30">
        <w:rPr>
          <w:rFonts w:ascii="The Sans" w:hAnsi="The Sans"/>
          <w:sz w:val="22"/>
          <w:szCs w:val="22"/>
        </w:rPr>
        <w:t>levantou alguma atenção:</w:t>
      </w:r>
      <w:r w:rsidRPr="007834F9">
        <w:rPr>
          <w:rFonts w:ascii="The Sans" w:hAnsi="The Sans"/>
          <w:sz w:val="22"/>
          <w:szCs w:val="22"/>
        </w:rPr>
        <w:t xml:space="preserve"> </w:t>
      </w:r>
    </w:p>
    <w:p w14:paraId="611D7B53" w14:textId="77777777" w:rsidR="004D50E0" w:rsidRPr="007834F9" w:rsidRDefault="004D50E0" w:rsidP="00010F71">
      <w:pPr>
        <w:pStyle w:val="PargrafodaLista"/>
        <w:numPr>
          <w:ilvl w:val="0"/>
          <w:numId w:val="6"/>
        </w:num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inconsistências numéricas entre os documentos (ex.: número de cooperativas da UNICAFES Rondônia, composição dos 3.736 beneficiários diretos, divergência entre metas de output e outcome no indicador de práticas sustentáveis); </w:t>
      </w:r>
    </w:p>
    <w:p w14:paraId="4BCE100B" w14:textId="415322DB" w:rsidR="005F7D54" w:rsidRPr="007834F9" w:rsidRDefault="004D50E0" w:rsidP="00010F71">
      <w:pPr>
        <w:pStyle w:val="PargrafodaLista"/>
        <w:numPr>
          <w:ilvl w:val="0"/>
          <w:numId w:val="6"/>
        </w:num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indicadores com operacionalização frágil (POI 1 admite múltiplas leituras, POI </w:t>
      </w:r>
      <w:r w:rsidR="00922359" w:rsidRPr="007834F9">
        <w:rPr>
          <w:rFonts w:ascii="The Sans" w:hAnsi="The Sans"/>
          <w:sz w:val="22"/>
          <w:szCs w:val="22"/>
        </w:rPr>
        <w:t xml:space="preserve">3 </w:t>
      </w:r>
      <w:r w:rsidR="00922359">
        <w:rPr>
          <w:rFonts w:ascii="The Sans" w:hAnsi="The Sans"/>
          <w:sz w:val="22"/>
          <w:szCs w:val="22"/>
        </w:rPr>
        <w:t>é confuso quanto a</w:t>
      </w:r>
      <w:r w:rsidRPr="007834F9">
        <w:rPr>
          <w:rFonts w:ascii="The Sans" w:hAnsi="The Sans"/>
          <w:sz w:val="22"/>
          <w:szCs w:val="22"/>
        </w:rPr>
        <w:t xml:space="preserve"> ocupação de cargo com participação ativa sem critério claro); e </w:t>
      </w:r>
    </w:p>
    <w:p w14:paraId="2D418A19" w14:textId="3B474276" w:rsidR="004D50E0" w:rsidRPr="007834F9" w:rsidRDefault="005F7D54" w:rsidP="00010F71">
      <w:pPr>
        <w:pStyle w:val="PargrafodaLista"/>
        <w:numPr>
          <w:ilvl w:val="0"/>
          <w:numId w:val="6"/>
        </w:num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>Q</w:t>
      </w:r>
      <w:r w:rsidR="004D50E0" w:rsidRPr="007834F9">
        <w:rPr>
          <w:rFonts w:ascii="The Sans" w:hAnsi="The Sans"/>
          <w:sz w:val="22"/>
          <w:szCs w:val="22"/>
        </w:rPr>
        <w:t xml:space="preserve">uestões de padronização </w:t>
      </w:r>
      <w:r w:rsidR="00916C74">
        <w:rPr>
          <w:rFonts w:ascii="The Sans" w:hAnsi="The Sans"/>
          <w:sz w:val="22"/>
          <w:szCs w:val="22"/>
        </w:rPr>
        <w:t xml:space="preserve">de termos e mecanismos causais </w:t>
      </w:r>
      <w:r w:rsidR="004D50E0" w:rsidRPr="007834F9">
        <w:rPr>
          <w:rFonts w:ascii="The Sans" w:hAnsi="The Sans"/>
          <w:sz w:val="22"/>
          <w:szCs w:val="22"/>
        </w:rPr>
        <w:t xml:space="preserve">entre </w:t>
      </w:r>
      <w:r w:rsidRPr="007834F9">
        <w:rPr>
          <w:rFonts w:ascii="The Sans" w:hAnsi="The Sans"/>
          <w:sz w:val="22"/>
          <w:szCs w:val="22"/>
        </w:rPr>
        <w:t>os</w:t>
      </w:r>
      <w:r w:rsidR="005C584B" w:rsidRPr="007834F9">
        <w:rPr>
          <w:rFonts w:ascii="The Sans" w:hAnsi="The Sans"/>
          <w:sz w:val="22"/>
          <w:szCs w:val="22"/>
        </w:rPr>
        <w:t xml:space="preserve"> documentos: Narrative DGD, Teoria da Mudança e a Matriz de Indicadores (Planilha)</w:t>
      </w:r>
      <w:r w:rsidR="004D50E0" w:rsidRPr="007834F9">
        <w:rPr>
          <w:rFonts w:ascii="The Sans" w:hAnsi="The Sans"/>
          <w:sz w:val="22"/>
          <w:szCs w:val="22"/>
        </w:rPr>
        <w:t>.</w:t>
      </w:r>
    </w:p>
    <w:p w14:paraId="289B4684" w14:textId="4258AA28" w:rsidR="00F23B3B" w:rsidRPr="007834F9" w:rsidRDefault="004D7CAB" w:rsidP="00C33EBB">
      <w:pPr>
        <w:pStyle w:val="PargrafodaLista"/>
        <w:numPr>
          <w:ilvl w:val="0"/>
          <w:numId w:val="7"/>
        </w:numPr>
        <w:spacing w:before="360" w:after="160"/>
        <w:rPr>
          <w:rFonts w:ascii="The Sans" w:hAnsi="The Sans"/>
          <w:b/>
          <w:bCs/>
          <w:color w:val="1F3864"/>
          <w:sz w:val="28"/>
          <w:szCs w:val="22"/>
        </w:rPr>
      </w:pPr>
      <w:r w:rsidRPr="007834F9">
        <w:rPr>
          <w:rFonts w:ascii="The Sans" w:hAnsi="The Sans"/>
          <w:b/>
          <w:bCs/>
          <w:color w:val="1F3864"/>
          <w:sz w:val="28"/>
          <w:szCs w:val="22"/>
        </w:rPr>
        <w:t xml:space="preserve">Plano de trabalho </w:t>
      </w:r>
    </w:p>
    <w:p w14:paraId="1A263AFB" w14:textId="30A41B74" w:rsidR="00BD3F01" w:rsidRPr="007834F9" w:rsidRDefault="00BD3F01" w:rsidP="00010F71">
      <w:p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>Com base nos documentos, foquei na realização das seguintes atividades:</w:t>
      </w:r>
    </w:p>
    <w:tbl>
      <w:tblPr>
        <w:tblStyle w:val="TabeladeGrade1Clara"/>
        <w:tblW w:w="0" w:type="auto"/>
        <w:tblLook w:val="0420" w:firstRow="1" w:lastRow="0" w:firstColumn="0" w:lastColumn="0" w:noHBand="0" w:noVBand="1"/>
      </w:tblPr>
      <w:tblGrid>
        <w:gridCol w:w="1873"/>
        <w:gridCol w:w="7823"/>
      </w:tblGrid>
      <w:tr w:rsidR="008159B5" w:rsidRPr="00E22953" w14:paraId="289B4688" w14:textId="77777777" w:rsidTr="00E22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8"/>
        </w:trPr>
        <w:tc>
          <w:tcPr>
            <w:tcW w:w="0" w:type="auto"/>
            <w:shd w:val="clear" w:color="1F3864" w:fill="1F3864"/>
            <w:vAlign w:val="center"/>
          </w:tcPr>
          <w:p w14:paraId="289B4685" w14:textId="37B06D0A" w:rsidR="008159B5" w:rsidRPr="00E22953" w:rsidRDefault="008159B5" w:rsidP="00010F71">
            <w:pPr>
              <w:jc w:val="center"/>
              <w:rPr>
                <w:rFonts w:ascii="The Sans" w:hAnsi="The Sans"/>
                <w:color w:val="FFFFFF"/>
                <w:sz w:val="18"/>
                <w:szCs w:val="18"/>
              </w:rPr>
            </w:pPr>
            <w:r w:rsidRPr="00E22953">
              <w:rPr>
                <w:rFonts w:ascii="The Sans" w:hAnsi="The Sans"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1F3864" w:fill="1F3864"/>
            <w:vAlign w:val="center"/>
          </w:tcPr>
          <w:p w14:paraId="289B4687" w14:textId="5F8B2ACD" w:rsidR="008159B5" w:rsidRPr="00E22953" w:rsidRDefault="008159B5" w:rsidP="00010F71">
            <w:pPr>
              <w:jc w:val="center"/>
              <w:rPr>
                <w:rFonts w:ascii="The Sans" w:hAnsi="The Sans"/>
                <w:color w:val="FFFFFF"/>
                <w:sz w:val="18"/>
                <w:szCs w:val="18"/>
              </w:rPr>
            </w:pPr>
            <w:r w:rsidRPr="00E22953">
              <w:rPr>
                <w:rFonts w:ascii="The Sans" w:hAnsi="The Sans"/>
                <w:color w:val="FFFFFF"/>
                <w:sz w:val="18"/>
                <w:szCs w:val="18"/>
              </w:rPr>
              <w:t>Conteúdo</w:t>
            </w:r>
          </w:p>
        </w:tc>
      </w:tr>
      <w:tr w:rsidR="008159B5" w:rsidRPr="00E22953" w14:paraId="289B468C" w14:textId="77777777" w:rsidTr="00E22953">
        <w:trPr>
          <w:trHeight w:val="1501"/>
        </w:trPr>
        <w:tc>
          <w:tcPr>
            <w:tcW w:w="0" w:type="auto"/>
            <w:vAlign w:val="center"/>
          </w:tcPr>
          <w:p w14:paraId="289B4689" w14:textId="5153134E" w:rsidR="008159B5" w:rsidRPr="00E22953" w:rsidRDefault="008159B5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Revisão do Anexo 1 – Teoria da Mudança</w:t>
            </w:r>
          </w:p>
        </w:tc>
        <w:tc>
          <w:tcPr>
            <w:tcW w:w="0" w:type="auto"/>
            <w:vAlign w:val="center"/>
          </w:tcPr>
          <w:p w14:paraId="12D11F1B" w14:textId="3A0748CF" w:rsidR="008159B5" w:rsidRPr="00E22953" w:rsidRDefault="008159B5" w:rsidP="00010F71">
            <w:p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sz w:val="18"/>
                <w:szCs w:val="18"/>
              </w:rPr>
              <w:t>a) Revisão do Anexo 1 – Teoria da Mudança</w:t>
            </w:r>
          </w:p>
          <w:p w14:paraId="58D9053C" w14:textId="5691AECB" w:rsidR="008159B5" w:rsidRPr="00E22953" w:rsidRDefault="008159B5" w:rsidP="00010F71">
            <w:pPr>
              <w:pStyle w:val="PargrafodaLista"/>
              <w:numPr>
                <w:ilvl w:val="0"/>
                <w:numId w:val="8"/>
              </w:num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1: ausência de cadeia causal </w:t>
            </w:r>
            <w:r w:rsidR="00010F71" w:rsidRPr="00E22953">
              <w:rPr>
                <w:rFonts w:ascii="The Sans" w:hAnsi="The Sans"/>
                <w:b/>
                <w:bCs/>
                <w:sz w:val="18"/>
                <w:szCs w:val="18"/>
              </w:rPr>
              <w:t>explícita</w:t>
            </w: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 e mapa de suposições por nível: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não é declarado o mecanismo objetivo em que as mudanças serão geradas: </w:t>
            </w:r>
            <w:r w:rsidR="00010F71" w:rsidRPr="00E22953">
              <w:rPr>
                <w:rFonts w:ascii="The Sans" w:hAnsi="The Sans"/>
                <w:sz w:val="18"/>
                <w:szCs w:val="18"/>
              </w:rPr>
              <w:t xml:space="preserve">empowerment </w:t>
            </w:r>
            <w:r w:rsidR="00010F71" w:rsidRPr="00E22953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="00010F71" w:rsidRPr="00E22953">
              <w:rPr>
                <w:rFonts w:ascii="The Sans" w:hAnsi="The Sans"/>
                <w:sz w:val="18"/>
                <w:szCs w:val="18"/>
              </w:rPr>
              <w:t xml:space="preserve"> MBOs performantes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</w:t>
            </w:r>
            <w:r w:rsidRPr="00E22953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membros empoderados </w:t>
            </w:r>
            <w:r w:rsidRPr="00E22953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agentes de mudan</w:t>
            </w:r>
            <w:r w:rsidRPr="00E22953">
              <w:rPr>
                <w:rFonts w:ascii="The Sans" w:hAnsi="The Sans" w:cs="The Sans"/>
                <w:sz w:val="18"/>
                <w:szCs w:val="18"/>
              </w:rPr>
              <w:t>ç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a </w:t>
            </w:r>
            <w:r w:rsidRPr="00E22953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ecossistema melhorado </w:t>
            </w:r>
            <w:r w:rsidRPr="00E22953">
              <w:rPr>
                <w:rFonts w:ascii="Times New Roman" w:hAnsi="Times New Roman" w:cs="Times New Roman"/>
                <w:sz w:val="18"/>
                <w:szCs w:val="18"/>
              </w:rPr>
              <w:t>→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justi</w:t>
            </w:r>
            <w:r w:rsidRPr="00E22953">
              <w:rPr>
                <w:rFonts w:ascii="The Sans" w:hAnsi="The Sans" w:cs="The Sans"/>
                <w:sz w:val="18"/>
                <w:szCs w:val="18"/>
              </w:rPr>
              <w:t>ç</w:t>
            </w:r>
            <w:r w:rsidRPr="00E22953">
              <w:rPr>
                <w:rFonts w:ascii="The Sans" w:hAnsi="The Sans"/>
                <w:sz w:val="18"/>
                <w:szCs w:val="18"/>
              </w:rPr>
              <w:t>a social.</w:t>
            </w:r>
          </w:p>
          <w:p w14:paraId="610A6B25" w14:textId="5060511F" w:rsidR="008159B5" w:rsidRPr="00E22953" w:rsidRDefault="008159B5" w:rsidP="00010F71">
            <w:pPr>
              <w:pStyle w:val="PargrafodaLista"/>
              <w:numPr>
                <w:ilvl w:val="0"/>
                <w:numId w:val="8"/>
              </w:numPr>
              <w:spacing w:after="60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2: ausência de suposições e riscos: 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as suposições ou “assumptions” precisam ser declaradas para que os outputs </w:t>
            </w:r>
            <w:r w:rsidR="00916C74" w:rsidRPr="00E22953">
              <w:rPr>
                <w:rFonts w:ascii="The Sans" w:hAnsi="The Sans"/>
                <w:sz w:val="18"/>
                <w:szCs w:val="18"/>
              </w:rPr>
              <w:t>se tornem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outcomes, especialmente, nas zonas que não é de controle da intervenção. Os riscos precisam ser mencionados na cadeia causal, justificando possíveis insucessos.</w:t>
            </w:r>
          </w:p>
          <w:p w14:paraId="289B468B" w14:textId="5E593C00" w:rsidR="008159B5" w:rsidRPr="00E22953" w:rsidRDefault="008159B5" w:rsidP="00010F71">
            <w:pPr>
              <w:pStyle w:val="PargrafodaLista"/>
              <w:numPr>
                <w:ilvl w:val="0"/>
                <w:numId w:val="8"/>
              </w:numPr>
              <w:spacing w:after="60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3: reformulação visual (opcional): </w:t>
            </w:r>
            <w:r w:rsidRPr="00E22953">
              <w:rPr>
                <w:rFonts w:ascii="The Sans" w:hAnsi="The Sans"/>
                <w:sz w:val="18"/>
                <w:szCs w:val="18"/>
              </w:rPr>
              <w:t>é mais pedagógico e comum o uso de sistemas lineares que possam complementar o visual concêntrico atual. Seria importante ter uma lógica causal linear em que conecte cada fase da intervenção, inclusive com a adoção da árvore de problemas. Isso pode ser adicionado no corpo do texto.</w:t>
            </w:r>
          </w:p>
        </w:tc>
      </w:tr>
      <w:tr w:rsidR="008159B5" w:rsidRPr="00E22953" w14:paraId="289B4691" w14:textId="77777777" w:rsidTr="00E22953">
        <w:trPr>
          <w:trHeight w:val="125"/>
        </w:trPr>
        <w:tc>
          <w:tcPr>
            <w:tcW w:w="0" w:type="auto"/>
            <w:vAlign w:val="center"/>
          </w:tcPr>
          <w:p w14:paraId="289B468D" w14:textId="7056AFDF" w:rsidR="008159B5" w:rsidRPr="00E22953" w:rsidRDefault="0020252B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lastRenderedPageBreak/>
              <w:t>To</w:t>
            </w:r>
            <w:r w:rsidR="00010F71" w:rsidRPr="00E22953">
              <w:rPr>
                <w:rFonts w:ascii="The Sans" w:hAnsi="The Sans"/>
                <w:b/>
                <w:bCs/>
                <w:sz w:val="18"/>
                <w:szCs w:val="18"/>
              </w:rPr>
              <w:t>C Brazil — Outcomes, Outputs e Indicadore</w:t>
            </w: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0" w:type="auto"/>
            <w:vAlign w:val="center"/>
          </w:tcPr>
          <w:p w14:paraId="5D6E9512" w14:textId="7902789E" w:rsidR="008159B5" w:rsidRPr="00E22953" w:rsidRDefault="008159B5" w:rsidP="00010F71">
            <w:p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sz w:val="18"/>
                <w:szCs w:val="18"/>
              </w:rPr>
              <w:t>b) Matriz de Indicadores:</w:t>
            </w:r>
          </w:p>
          <w:p w14:paraId="4132DBE4" w14:textId="77777777" w:rsidR="008159B5" w:rsidRPr="00E22953" w:rsidRDefault="0005017D" w:rsidP="00010F71">
            <w:pPr>
              <w:pStyle w:val="PargrafodaLista"/>
              <w:numPr>
                <w:ilvl w:val="0"/>
                <w:numId w:val="9"/>
              </w:num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Item 1: revisão dos indicadores de outcomes: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aplicação de critérios SMART e </w:t>
            </w:r>
            <w:r w:rsidR="00C87439" w:rsidRPr="00E22953">
              <w:rPr>
                <w:rFonts w:ascii="The Sans" w:hAnsi="The Sans"/>
                <w:sz w:val="18"/>
                <w:szCs w:val="18"/>
              </w:rPr>
              <w:t xml:space="preserve">padronização, conforme contexto dos parceiros. Vincular os outcomes </w:t>
            </w:r>
            <w:r w:rsidR="00A67B44" w:rsidRPr="00E22953">
              <w:rPr>
                <w:rFonts w:ascii="The Sans" w:hAnsi="The Sans"/>
                <w:sz w:val="18"/>
                <w:szCs w:val="18"/>
              </w:rPr>
              <w:t xml:space="preserve">à Teoria da Mudança Revisada. Algumas observações iniciais: </w:t>
            </w:r>
            <w:r w:rsidR="00466A2C" w:rsidRPr="00E22953">
              <w:rPr>
                <w:rFonts w:ascii="The Sans" w:hAnsi="The Sans"/>
                <w:sz w:val="18"/>
                <w:szCs w:val="18"/>
              </w:rPr>
              <w:t>falta detalhamento na metodologia de cálculos, meios de verificação e evidências, importante evitar algumas palavras ambíguas, traduzir de forma mais objetiva.</w:t>
            </w:r>
          </w:p>
          <w:p w14:paraId="1F3C45F5" w14:textId="77777777" w:rsidR="00466A2C" w:rsidRPr="00E22953" w:rsidRDefault="00466A2C" w:rsidP="00010F71">
            <w:pPr>
              <w:pStyle w:val="PargrafodaLista"/>
              <w:numPr>
                <w:ilvl w:val="0"/>
                <w:numId w:val="9"/>
              </w:num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2: </w:t>
            </w:r>
            <w:r w:rsidR="001B27B7" w:rsidRPr="00E22953">
              <w:rPr>
                <w:rFonts w:ascii="The Sans" w:hAnsi="The Sans"/>
                <w:b/>
                <w:bCs/>
                <w:sz w:val="18"/>
                <w:szCs w:val="18"/>
              </w:rPr>
              <w:t>coerência entre outputs e outcomes:</w:t>
            </w:r>
            <w:r w:rsidR="001B27B7" w:rsidRPr="00E22953">
              <w:rPr>
                <w:rFonts w:ascii="The Sans" w:hAnsi="The Sans"/>
                <w:sz w:val="18"/>
                <w:szCs w:val="18"/>
              </w:rPr>
              <w:t xml:space="preserve"> os seis indicadores outputs são relevantes, mas ainda precisa de ajustes sobre qual tipo de domínio ou universo comum entre os parceiros</w:t>
            </w:r>
            <w:r w:rsidR="00CA2690" w:rsidRPr="00E22953">
              <w:rPr>
                <w:rFonts w:ascii="The Sans" w:hAnsi="The Sans"/>
                <w:sz w:val="18"/>
                <w:szCs w:val="18"/>
              </w:rPr>
              <w:t>. Fazer uma breve pesquisa de benchmarking para estruturar os indicadores com base em indicadores da FAO, Agriterra, Solidariedad etc.</w:t>
            </w:r>
          </w:p>
          <w:p w14:paraId="289B4690" w14:textId="14565F65" w:rsidR="00CA2690" w:rsidRPr="00E22953" w:rsidRDefault="000B1D66" w:rsidP="00010F71">
            <w:pPr>
              <w:pStyle w:val="PargrafodaLista"/>
              <w:numPr>
                <w:ilvl w:val="0"/>
                <w:numId w:val="9"/>
              </w:num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3: ficha técnica </w:t>
            </w:r>
            <w:r w:rsidR="00187346" w:rsidRPr="00E22953">
              <w:rPr>
                <w:rFonts w:ascii="The Sans" w:hAnsi="The Sans"/>
                <w:b/>
                <w:bCs/>
                <w:sz w:val="18"/>
                <w:szCs w:val="18"/>
              </w:rPr>
              <w:t>para os indicadores (adicional):</w:t>
            </w:r>
            <w:r w:rsidR="00187346" w:rsidRPr="00E22953">
              <w:rPr>
                <w:rFonts w:ascii="The Sans" w:hAnsi="The Sans"/>
                <w:sz w:val="18"/>
                <w:szCs w:val="18"/>
              </w:rPr>
              <w:t xml:space="preserve"> importante para guiar a equipe MEAL do Trias </w:t>
            </w:r>
            <w:r w:rsidR="00EF7BD0" w:rsidRPr="00E22953">
              <w:rPr>
                <w:rFonts w:ascii="The Sans" w:hAnsi="The Sans"/>
                <w:sz w:val="18"/>
                <w:szCs w:val="18"/>
              </w:rPr>
              <w:t>SAM no processo de implementação do programa, pode ir como anexo a proposta ou na Teoria da Mudança para maiores detalhes.</w:t>
            </w:r>
          </w:p>
        </w:tc>
      </w:tr>
      <w:tr w:rsidR="00C37D96" w:rsidRPr="00E22953" w14:paraId="1F9BA9C2" w14:textId="77777777" w:rsidTr="00E22953">
        <w:trPr>
          <w:trHeight w:val="125"/>
        </w:trPr>
        <w:tc>
          <w:tcPr>
            <w:tcW w:w="0" w:type="auto"/>
            <w:shd w:val="clear" w:color="auto" w:fill="D9F2D0" w:themeFill="accent6" w:themeFillTint="33"/>
            <w:vAlign w:val="center"/>
          </w:tcPr>
          <w:p w14:paraId="62B2CA01" w14:textId="77777777" w:rsidR="00C37D96" w:rsidRPr="00E22953" w:rsidRDefault="00C37D96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P1:</w:t>
            </w:r>
            <w:r w:rsidR="00AA10C7"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 ToC e Matriz de Indicadores Revisada</w:t>
            </w:r>
          </w:p>
          <w:p w14:paraId="538671CE" w14:textId="309C79BB" w:rsidR="00AA10C7" w:rsidRPr="00E22953" w:rsidRDefault="00AA10C7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color w:val="EE0000"/>
                <w:sz w:val="18"/>
                <w:szCs w:val="18"/>
              </w:rPr>
              <w:t>22 de maio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67C8DB8D" w14:textId="726EA87F" w:rsidR="00C37D96" w:rsidRPr="00E22953" w:rsidRDefault="00C37D96" w:rsidP="00010F71">
            <w:pPr>
              <w:spacing w:after="60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Entrega do produto 1</w:t>
            </w:r>
            <w:r w:rsidR="00AA10C7"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 com revisão da Teoria da Mudança </w:t>
            </w:r>
            <w:r w:rsidR="00021360" w:rsidRPr="00E22953">
              <w:rPr>
                <w:rFonts w:ascii="The Sans" w:hAnsi="The Sans"/>
                <w:b/>
                <w:bCs/>
                <w:sz w:val="18"/>
                <w:szCs w:val="18"/>
              </w:rPr>
              <w:t>e</w:t>
            </w:r>
            <w:r w:rsidR="00AA10C7"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 Matriz de Indicadores</w:t>
            </w:r>
          </w:p>
        </w:tc>
      </w:tr>
      <w:tr w:rsidR="008159B5" w:rsidRPr="00E22953" w14:paraId="289B4695" w14:textId="77777777" w:rsidTr="00E22953">
        <w:trPr>
          <w:trHeight w:val="435"/>
        </w:trPr>
        <w:tc>
          <w:tcPr>
            <w:tcW w:w="0" w:type="auto"/>
            <w:shd w:val="clear" w:color="auto" w:fill="F2CEED" w:themeFill="accent5" w:themeFillTint="33"/>
            <w:vAlign w:val="center"/>
          </w:tcPr>
          <w:p w14:paraId="3BA59E21" w14:textId="284CC9D2" w:rsidR="008159B5" w:rsidRPr="00E22953" w:rsidRDefault="00AA10C7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Janela de revisão da equipe Trias</w:t>
            </w:r>
          </w:p>
          <w:p w14:paraId="289B4692" w14:textId="5470DE41" w:rsidR="00AA10C7" w:rsidRPr="00E22953" w:rsidRDefault="0033407A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color w:val="EE0000"/>
                <w:sz w:val="18"/>
                <w:szCs w:val="18"/>
              </w:rPr>
              <w:t>27 de maio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</w:tcPr>
          <w:p w14:paraId="289B4694" w14:textId="32580B14" w:rsidR="008159B5" w:rsidRPr="00E22953" w:rsidRDefault="0033407A" w:rsidP="00010F71">
            <w:p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sz w:val="18"/>
                <w:szCs w:val="18"/>
              </w:rPr>
              <w:t>Apresentação dos comentários, sessão de dúvidas e revisão dos documentos</w:t>
            </w:r>
          </w:p>
        </w:tc>
      </w:tr>
      <w:tr w:rsidR="008159B5" w:rsidRPr="00E22953" w14:paraId="289B4699" w14:textId="77777777" w:rsidTr="00E22953">
        <w:trPr>
          <w:trHeight w:val="125"/>
        </w:trPr>
        <w:tc>
          <w:tcPr>
            <w:tcW w:w="0" w:type="auto"/>
            <w:vAlign w:val="center"/>
          </w:tcPr>
          <w:p w14:paraId="289B4696" w14:textId="7701C53F" w:rsidR="008159B5" w:rsidRPr="00E22953" w:rsidRDefault="003078D0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Ajustes finos na Teoria da Mudança e </w:t>
            </w:r>
            <w:r w:rsidR="00941692" w:rsidRPr="00E22953">
              <w:rPr>
                <w:rFonts w:ascii="The Sans" w:hAnsi="The Sans"/>
                <w:b/>
                <w:bCs/>
                <w:sz w:val="18"/>
                <w:szCs w:val="18"/>
              </w:rPr>
              <w:t>Matriz de Indicadores</w:t>
            </w:r>
          </w:p>
        </w:tc>
        <w:tc>
          <w:tcPr>
            <w:tcW w:w="0" w:type="auto"/>
            <w:vAlign w:val="center"/>
          </w:tcPr>
          <w:p w14:paraId="3F85B082" w14:textId="5ABE7DA5" w:rsidR="003078D0" w:rsidRPr="00E22953" w:rsidRDefault="003078D0" w:rsidP="00010F71">
            <w:p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sz w:val="18"/>
                <w:szCs w:val="18"/>
              </w:rPr>
              <w:t>b) Teoria da Mudança:</w:t>
            </w:r>
          </w:p>
          <w:p w14:paraId="47AF0A6B" w14:textId="33391C28" w:rsidR="0074073C" w:rsidRPr="00E22953" w:rsidRDefault="0074073C" w:rsidP="00010F71">
            <w:pPr>
              <w:pStyle w:val="PargrafodaLista"/>
              <w:numPr>
                <w:ilvl w:val="0"/>
                <w:numId w:val="10"/>
              </w:numPr>
              <w:spacing w:after="60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Item 1: incorporar os comentários e revisões.</w:t>
            </w:r>
          </w:p>
          <w:p w14:paraId="61657D0C" w14:textId="0DC28F38" w:rsidR="008159B5" w:rsidRPr="00E22953" w:rsidRDefault="003078D0" w:rsidP="00010F71">
            <w:pPr>
              <w:pStyle w:val="PargrafodaLista"/>
              <w:numPr>
                <w:ilvl w:val="0"/>
                <w:numId w:val="10"/>
              </w:numPr>
              <w:spacing w:after="60"/>
              <w:rPr>
                <w:rFonts w:ascii="The Sans" w:hAnsi="The Sans"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</w:t>
            </w:r>
            <w:r w:rsidR="0074073C" w:rsidRPr="00E22953">
              <w:rPr>
                <w:rFonts w:ascii="The Sans" w:hAnsi="The Sans"/>
                <w:b/>
                <w:bCs/>
                <w:sz w:val="18"/>
                <w:szCs w:val="18"/>
              </w:rPr>
              <w:t>2</w:t>
            </w: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: mecanismos de monitoramento e aprendizagem:</w:t>
            </w:r>
            <w:r w:rsidRPr="00E22953">
              <w:rPr>
                <w:rFonts w:ascii="The Sans" w:hAnsi="The Sans"/>
                <w:sz w:val="18"/>
                <w:szCs w:val="18"/>
              </w:rPr>
              <w:t xml:space="preserve"> detalhar como será o processo de coleta de linha base, meio-termo e avaliação final, </w:t>
            </w:r>
            <w:r w:rsidR="0074073C" w:rsidRPr="00E22953">
              <w:rPr>
                <w:rFonts w:ascii="The Sans" w:hAnsi="The Sans"/>
                <w:sz w:val="18"/>
                <w:szCs w:val="18"/>
              </w:rPr>
              <w:t>para incorporar aprendizagem, processos avaliativos e operacionalizar de fato a ToC.</w:t>
            </w:r>
          </w:p>
          <w:p w14:paraId="289B4698" w14:textId="748364F9" w:rsidR="0074073C" w:rsidRPr="00E22953" w:rsidRDefault="00E8430D" w:rsidP="00010F71">
            <w:pPr>
              <w:pStyle w:val="PargrafodaLista"/>
              <w:numPr>
                <w:ilvl w:val="0"/>
                <w:numId w:val="10"/>
              </w:numPr>
              <w:spacing w:after="60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Item 3: incorporar elementos da estratégia de saída e sustentabilidade: </w:t>
            </w:r>
            <w:r w:rsidR="005E4BAF" w:rsidRPr="00E22953">
              <w:rPr>
                <w:rFonts w:ascii="The Sans" w:hAnsi="The Sans"/>
                <w:sz w:val="18"/>
                <w:szCs w:val="18"/>
              </w:rPr>
              <w:t>fortalecer a narrativa do Trias como facilitador/hub, explicitar a durabilidade dos benefícios pós-intervenção e possíveis cenários de descontinuidade de política pública</w:t>
            </w:r>
            <w:r w:rsidR="00A8581E" w:rsidRPr="00E22953">
              <w:rPr>
                <w:rFonts w:ascii="The Sans" w:hAnsi="The Sans"/>
                <w:sz w:val="18"/>
                <w:szCs w:val="18"/>
              </w:rPr>
              <w:t>;</w:t>
            </w:r>
            <w:r w:rsidR="005E4BAF" w:rsidRPr="00E22953">
              <w:rPr>
                <w:rFonts w:ascii="The Sans" w:hAnsi="The Sans"/>
                <w:sz w:val="18"/>
                <w:szCs w:val="18"/>
              </w:rPr>
              <w:t xml:space="preserve"> articulação com mercado privado</w:t>
            </w:r>
            <w:r w:rsidR="00A8581E" w:rsidRPr="00E22953">
              <w:rPr>
                <w:rFonts w:ascii="The Sans" w:hAnsi="The Sans"/>
                <w:sz w:val="18"/>
                <w:szCs w:val="18"/>
              </w:rPr>
              <w:t xml:space="preserve"> pós-projeto e sinergias.</w:t>
            </w:r>
          </w:p>
        </w:tc>
      </w:tr>
      <w:tr w:rsidR="003078D0" w:rsidRPr="00E22953" w14:paraId="289B469E" w14:textId="77777777" w:rsidTr="00E22953">
        <w:trPr>
          <w:trHeight w:val="635"/>
        </w:trPr>
        <w:tc>
          <w:tcPr>
            <w:tcW w:w="0" w:type="auto"/>
            <w:shd w:val="clear" w:color="auto" w:fill="D9F2D0" w:themeFill="accent6" w:themeFillTint="33"/>
            <w:vAlign w:val="center"/>
          </w:tcPr>
          <w:p w14:paraId="362A0437" w14:textId="09127AE6" w:rsidR="003078D0" w:rsidRPr="00E22953" w:rsidRDefault="003078D0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P2: Entrega final</w:t>
            </w:r>
            <w:r w:rsidR="00010F71"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 — ToC</w:t>
            </w: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 xml:space="preserve"> e Matriz de Indicadores finais</w:t>
            </w:r>
          </w:p>
          <w:p w14:paraId="289B469A" w14:textId="26AE8DB8" w:rsidR="003078D0" w:rsidRPr="00E22953" w:rsidRDefault="003078D0" w:rsidP="00010F71">
            <w:pPr>
              <w:spacing w:after="60"/>
              <w:jc w:val="center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color w:val="EE0000"/>
                <w:sz w:val="18"/>
                <w:szCs w:val="18"/>
              </w:rPr>
              <w:t>31 de maio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</w:tcPr>
          <w:p w14:paraId="289B469D" w14:textId="4B3ECED3" w:rsidR="003078D0" w:rsidRPr="00E22953" w:rsidRDefault="003078D0" w:rsidP="00010F71">
            <w:pPr>
              <w:spacing w:after="60"/>
              <w:rPr>
                <w:rFonts w:ascii="The Sans" w:hAnsi="The Sans"/>
                <w:b/>
                <w:bCs/>
                <w:sz w:val="18"/>
                <w:szCs w:val="18"/>
              </w:rPr>
            </w:pPr>
            <w:r w:rsidRPr="00E22953">
              <w:rPr>
                <w:rFonts w:ascii="The Sans" w:hAnsi="The Sans"/>
                <w:b/>
                <w:bCs/>
                <w:sz w:val="18"/>
                <w:szCs w:val="18"/>
              </w:rPr>
              <w:t>Apresentação dos produtos, sessão de dúvidas e fechamento dos documentos.</w:t>
            </w:r>
          </w:p>
        </w:tc>
      </w:tr>
    </w:tbl>
    <w:p w14:paraId="576EA0BE" w14:textId="77777777" w:rsidR="00021360" w:rsidRPr="007834F9" w:rsidRDefault="00021360" w:rsidP="00C33EBB">
      <w:pPr>
        <w:pStyle w:val="PargrafodaLista"/>
        <w:numPr>
          <w:ilvl w:val="0"/>
          <w:numId w:val="7"/>
        </w:numPr>
        <w:spacing w:before="360" w:after="160"/>
        <w:rPr>
          <w:rFonts w:ascii="The Sans" w:hAnsi="The Sans"/>
          <w:b/>
          <w:bCs/>
          <w:color w:val="1F3864"/>
          <w:sz w:val="28"/>
          <w:szCs w:val="22"/>
        </w:rPr>
      </w:pPr>
      <w:r w:rsidRPr="007834F9">
        <w:rPr>
          <w:rFonts w:ascii="The Sans" w:hAnsi="The Sans"/>
          <w:b/>
          <w:bCs/>
          <w:color w:val="1F3864"/>
          <w:sz w:val="28"/>
          <w:szCs w:val="22"/>
        </w:rPr>
        <w:t>Produtos a serem contratados</w:t>
      </w:r>
    </w:p>
    <w:p w14:paraId="168F511E" w14:textId="243CF118" w:rsidR="00021360" w:rsidRPr="007834F9" w:rsidRDefault="00021360" w:rsidP="00010F71">
      <w:pPr>
        <w:spacing w:before="80" w:after="120"/>
        <w:ind w:left="720"/>
        <w:jc w:val="both"/>
        <w:rPr>
          <w:rFonts w:ascii="The Sans" w:hAnsi="The Sans"/>
          <w:sz w:val="22"/>
          <w:szCs w:val="22"/>
        </w:rPr>
      </w:pPr>
      <w:r w:rsidRPr="00AA2B4E">
        <w:rPr>
          <w:rFonts w:ascii="The Sans" w:hAnsi="The Sans"/>
          <w:b/>
          <w:sz w:val="22"/>
          <w:szCs w:val="22"/>
        </w:rPr>
        <w:t>4.1 Revisão do Anexo 1 – Teoria da Mudança:</w:t>
      </w:r>
      <w:r w:rsidRPr="007834F9">
        <w:rPr>
          <w:rFonts w:ascii="The Sans" w:hAnsi="The Sans"/>
          <w:bCs/>
          <w:sz w:val="22"/>
          <w:szCs w:val="22"/>
        </w:rPr>
        <w:t xml:space="preserve"> </w:t>
      </w:r>
      <w:r w:rsidR="00A13071" w:rsidRPr="007834F9">
        <w:rPr>
          <w:rFonts w:ascii="The Sans" w:hAnsi="The Sans"/>
          <w:sz w:val="22"/>
          <w:szCs w:val="22"/>
        </w:rPr>
        <w:t xml:space="preserve">revisão geral do documento, adicionando: cadeia causal, mecanismos de mudança, suposições de impacto, matriz de riscos e </w:t>
      </w:r>
      <w:r w:rsidR="00941692" w:rsidRPr="007834F9">
        <w:rPr>
          <w:rFonts w:ascii="The Sans" w:hAnsi="The Sans"/>
          <w:sz w:val="22"/>
          <w:szCs w:val="22"/>
        </w:rPr>
        <w:t>(opcional) diagrama linear da teoria da mudança, não deve substituir a Figura 1, mas reforçar o caminho causal da intervenção.</w:t>
      </w:r>
    </w:p>
    <w:p w14:paraId="7B0D55BF" w14:textId="00579814" w:rsidR="007E5573" w:rsidRPr="007834F9" w:rsidRDefault="00941692" w:rsidP="00010F71">
      <w:pPr>
        <w:spacing w:before="80" w:after="120"/>
        <w:ind w:left="720"/>
        <w:jc w:val="both"/>
        <w:rPr>
          <w:rFonts w:ascii="The Sans" w:hAnsi="The Sans"/>
          <w:sz w:val="22"/>
          <w:szCs w:val="22"/>
        </w:rPr>
      </w:pPr>
      <w:r w:rsidRPr="00AA2B4E">
        <w:rPr>
          <w:rFonts w:ascii="The Sans" w:hAnsi="The Sans"/>
          <w:b/>
          <w:sz w:val="22"/>
          <w:szCs w:val="22"/>
        </w:rPr>
        <w:t xml:space="preserve">4.2 </w:t>
      </w:r>
      <w:r w:rsidR="00F56CF2" w:rsidRPr="00AA2B4E">
        <w:rPr>
          <w:rFonts w:ascii="The Sans" w:hAnsi="The Sans"/>
          <w:b/>
          <w:sz w:val="22"/>
          <w:szCs w:val="22"/>
        </w:rPr>
        <w:t>Revisão do ToC Brazil_Outcomes Outputs Indicators_DRAFT:</w:t>
      </w:r>
      <w:r w:rsidR="00F56CF2" w:rsidRPr="007834F9">
        <w:rPr>
          <w:rFonts w:ascii="The Sans" w:hAnsi="The Sans"/>
          <w:bCs/>
          <w:sz w:val="22"/>
          <w:szCs w:val="22"/>
        </w:rPr>
        <w:t xml:space="preserve"> </w:t>
      </w:r>
      <w:r w:rsidR="00F56CF2" w:rsidRPr="007834F9">
        <w:rPr>
          <w:rFonts w:ascii="The Sans" w:hAnsi="The Sans"/>
          <w:sz w:val="22"/>
          <w:szCs w:val="22"/>
        </w:rPr>
        <w:t>ajuste dos indicadores de outputs e outcomes alinhados à Teoria da Mudança, atendendo os critérios SMART</w:t>
      </w:r>
      <w:r w:rsidR="007E5573" w:rsidRPr="007834F9">
        <w:rPr>
          <w:rFonts w:ascii="The Sans" w:hAnsi="The Sans"/>
          <w:sz w:val="22"/>
          <w:szCs w:val="22"/>
        </w:rPr>
        <w:t xml:space="preserve"> e o contexto aplicado a cada parceiro.</w:t>
      </w:r>
    </w:p>
    <w:p w14:paraId="1B10DAAB" w14:textId="7881B341" w:rsidR="007E5573" w:rsidRPr="007834F9" w:rsidRDefault="007E5573" w:rsidP="00010F71">
      <w:pPr>
        <w:spacing w:before="80" w:after="12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b/>
          <w:bCs/>
          <w:sz w:val="22"/>
          <w:szCs w:val="22"/>
        </w:rPr>
        <w:t>Opcional</w:t>
      </w:r>
      <w:r w:rsidR="00613A25" w:rsidRPr="007834F9">
        <w:rPr>
          <w:rFonts w:ascii="The Sans" w:hAnsi="The Sans"/>
          <w:b/>
          <w:bCs/>
          <w:sz w:val="22"/>
          <w:szCs w:val="22"/>
        </w:rPr>
        <w:t xml:space="preserve"> (a negociar)</w:t>
      </w:r>
      <w:r w:rsidRPr="007834F9">
        <w:rPr>
          <w:rFonts w:ascii="The Sans" w:hAnsi="The Sans"/>
          <w:b/>
          <w:bCs/>
          <w:sz w:val="22"/>
          <w:szCs w:val="22"/>
        </w:rPr>
        <w:t>:</w:t>
      </w:r>
    </w:p>
    <w:p w14:paraId="289B46A2" w14:textId="6B9C325E" w:rsidR="00F23B3B" w:rsidRPr="007834F9" w:rsidRDefault="007E5573" w:rsidP="00010F71">
      <w:pPr>
        <w:spacing w:before="80" w:after="120"/>
        <w:ind w:left="720"/>
        <w:jc w:val="both"/>
        <w:rPr>
          <w:rFonts w:ascii="The Sans" w:hAnsi="The Sans"/>
          <w:sz w:val="22"/>
          <w:szCs w:val="22"/>
        </w:rPr>
      </w:pPr>
      <w:r w:rsidRPr="00922359">
        <w:rPr>
          <w:rFonts w:ascii="The Sans" w:hAnsi="The Sans"/>
          <w:b/>
          <w:sz w:val="22"/>
          <w:szCs w:val="22"/>
        </w:rPr>
        <w:t xml:space="preserve">4.3 Formulação do Marco Lógico </w:t>
      </w:r>
      <w:r w:rsidR="00CD01C2" w:rsidRPr="00922359">
        <w:rPr>
          <w:rFonts w:ascii="The Sans" w:hAnsi="The Sans"/>
          <w:b/>
          <w:sz w:val="22"/>
          <w:szCs w:val="22"/>
        </w:rPr>
        <w:t>do Programa:</w:t>
      </w:r>
      <w:r w:rsidR="00CD01C2" w:rsidRPr="007834F9">
        <w:rPr>
          <w:rFonts w:ascii="The Sans" w:hAnsi="The Sans"/>
          <w:bCs/>
          <w:sz w:val="22"/>
          <w:szCs w:val="22"/>
        </w:rPr>
        <w:t xml:space="preserve"> </w:t>
      </w:r>
      <w:r w:rsidR="00CD01C2" w:rsidRPr="007834F9">
        <w:rPr>
          <w:rFonts w:ascii="The Sans" w:hAnsi="The Sans"/>
          <w:sz w:val="22"/>
          <w:szCs w:val="22"/>
        </w:rPr>
        <w:t xml:space="preserve">estruturação do marco lógico da intervenção, com base na definição dos Outcomes e Outputs, seguindo padrão utilizado pelo Trias ou outros </w:t>
      </w:r>
      <w:r w:rsidR="00613A25" w:rsidRPr="007834F9">
        <w:rPr>
          <w:rFonts w:ascii="The Sans" w:hAnsi="The Sans"/>
          <w:sz w:val="22"/>
          <w:szCs w:val="22"/>
        </w:rPr>
        <w:t>financiadores, como Banco Mundial ou BID.</w:t>
      </w:r>
    </w:p>
    <w:p w14:paraId="10A3C96B" w14:textId="11F3AC6E" w:rsidR="00613A25" w:rsidRPr="007834F9" w:rsidRDefault="00613A25" w:rsidP="00010F71">
      <w:pPr>
        <w:spacing w:before="80" w:after="120"/>
        <w:ind w:left="720"/>
        <w:jc w:val="both"/>
        <w:rPr>
          <w:rFonts w:ascii="The Sans" w:hAnsi="The Sans"/>
          <w:sz w:val="22"/>
          <w:szCs w:val="22"/>
        </w:rPr>
      </w:pPr>
      <w:r w:rsidRPr="00922359">
        <w:rPr>
          <w:rFonts w:ascii="The Sans" w:hAnsi="The Sans"/>
          <w:b/>
          <w:sz w:val="22"/>
          <w:szCs w:val="22"/>
        </w:rPr>
        <w:t xml:space="preserve">4.4 </w:t>
      </w:r>
      <w:r w:rsidR="002F381D" w:rsidRPr="00922359">
        <w:rPr>
          <w:rFonts w:ascii="The Sans" w:hAnsi="The Sans"/>
          <w:b/>
          <w:sz w:val="22"/>
          <w:szCs w:val="22"/>
        </w:rPr>
        <w:t>BRAZIL_DGD Narrative_DRAFT</w:t>
      </w:r>
      <w:r w:rsidRPr="00922359">
        <w:rPr>
          <w:rFonts w:ascii="The Sans" w:hAnsi="The Sans"/>
          <w:b/>
          <w:sz w:val="22"/>
          <w:szCs w:val="22"/>
        </w:rPr>
        <w:t>:</w:t>
      </w:r>
      <w:r w:rsidRPr="007834F9">
        <w:rPr>
          <w:rFonts w:ascii="The Sans" w:hAnsi="The Sans"/>
          <w:sz w:val="22"/>
          <w:szCs w:val="22"/>
        </w:rPr>
        <w:t xml:space="preserve"> </w:t>
      </w:r>
      <w:r w:rsidR="002F381D" w:rsidRPr="007834F9">
        <w:rPr>
          <w:rFonts w:ascii="The Sans" w:hAnsi="The Sans"/>
          <w:sz w:val="22"/>
          <w:szCs w:val="22"/>
        </w:rPr>
        <w:t xml:space="preserve">revisão da proposta de programa, especificamente, </w:t>
      </w:r>
      <w:r w:rsidR="00CC5568" w:rsidRPr="007834F9">
        <w:rPr>
          <w:rFonts w:ascii="The Sans" w:hAnsi="The Sans"/>
          <w:sz w:val="22"/>
          <w:szCs w:val="22"/>
        </w:rPr>
        <w:t>da Seção D e E.</w:t>
      </w:r>
    </w:p>
    <w:p w14:paraId="1CA0B21F" w14:textId="33D62171" w:rsidR="00CC5568" w:rsidRPr="007834F9" w:rsidRDefault="00CC5568" w:rsidP="00C33EBB">
      <w:pPr>
        <w:pStyle w:val="PargrafodaLista"/>
        <w:numPr>
          <w:ilvl w:val="0"/>
          <w:numId w:val="7"/>
        </w:numPr>
        <w:spacing w:before="360" w:after="160"/>
        <w:rPr>
          <w:rFonts w:ascii="The Sans" w:hAnsi="The Sans"/>
          <w:b/>
          <w:bCs/>
          <w:color w:val="1F3864"/>
          <w:sz w:val="28"/>
          <w:szCs w:val="22"/>
        </w:rPr>
      </w:pPr>
      <w:r w:rsidRPr="007834F9">
        <w:rPr>
          <w:rFonts w:ascii="The Sans" w:hAnsi="The Sans"/>
          <w:b/>
          <w:bCs/>
          <w:color w:val="1F3864"/>
          <w:sz w:val="28"/>
          <w:szCs w:val="22"/>
        </w:rPr>
        <w:t>Proposta financeira</w:t>
      </w:r>
    </w:p>
    <w:p w14:paraId="0789B84E" w14:textId="60D8C429" w:rsidR="00CC5568" w:rsidRPr="007834F9" w:rsidRDefault="005C0473" w:rsidP="00010F71">
      <w:pPr>
        <w:spacing w:before="80" w:after="120"/>
        <w:ind w:left="360"/>
        <w:jc w:val="both"/>
        <w:rPr>
          <w:rFonts w:ascii="The Sans" w:hAnsi="The Sans"/>
          <w:sz w:val="22"/>
          <w:szCs w:val="22"/>
        </w:rPr>
      </w:pPr>
      <w:r w:rsidRPr="007834F9">
        <w:rPr>
          <w:rFonts w:ascii="The Sans" w:hAnsi="The Sans"/>
          <w:sz w:val="22"/>
          <w:szCs w:val="22"/>
        </w:rPr>
        <w:t xml:space="preserve">Serão disponibilizadas </w:t>
      </w:r>
      <w:r w:rsidRPr="00AA2B4E">
        <w:rPr>
          <w:rFonts w:ascii="The Sans" w:hAnsi="The Sans"/>
          <w:b/>
          <w:bCs/>
          <w:sz w:val="22"/>
          <w:szCs w:val="22"/>
        </w:rPr>
        <w:t>até 32 horas</w:t>
      </w:r>
      <w:r w:rsidRPr="007834F9">
        <w:rPr>
          <w:rFonts w:ascii="The Sans" w:hAnsi="The Sans"/>
          <w:sz w:val="22"/>
          <w:szCs w:val="22"/>
        </w:rPr>
        <w:t>, em quatro diárias, com valor unitário</w:t>
      </w:r>
      <w:r w:rsidR="00010F71" w:rsidRPr="007834F9">
        <w:rPr>
          <w:rFonts w:ascii="The Sans" w:hAnsi="The Sans"/>
          <w:sz w:val="22"/>
          <w:szCs w:val="22"/>
        </w:rPr>
        <w:t xml:space="preserve">-hora </w:t>
      </w:r>
      <w:r w:rsidR="004F0133">
        <w:rPr>
          <w:rFonts w:ascii="The Sans" w:hAnsi="The Sans"/>
          <w:sz w:val="22"/>
          <w:szCs w:val="22"/>
        </w:rPr>
        <w:t>US$</w:t>
      </w:r>
      <w:r w:rsidR="00010F71" w:rsidRPr="007834F9">
        <w:rPr>
          <w:rFonts w:ascii="The Sans" w:hAnsi="The Sans"/>
          <w:sz w:val="22"/>
          <w:szCs w:val="22"/>
        </w:rPr>
        <w:t xml:space="preserve"> </w:t>
      </w:r>
      <w:r w:rsidR="004F0133">
        <w:rPr>
          <w:rFonts w:ascii="The Sans" w:hAnsi="The Sans"/>
          <w:sz w:val="22"/>
          <w:szCs w:val="22"/>
        </w:rPr>
        <w:t xml:space="preserve">15,62 dólares </w:t>
      </w:r>
      <w:r w:rsidR="00010F71" w:rsidRPr="007834F9">
        <w:rPr>
          <w:rFonts w:ascii="The Sans" w:hAnsi="The Sans"/>
          <w:sz w:val="22"/>
          <w:szCs w:val="22"/>
        </w:rPr>
        <w:t>(</w:t>
      </w:r>
      <w:r w:rsidR="004F0133">
        <w:rPr>
          <w:rFonts w:ascii="The Sans" w:hAnsi="The Sans"/>
          <w:sz w:val="22"/>
          <w:szCs w:val="22"/>
        </w:rPr>
        <w:t>quinze dólares e sessenta e dois cents</w:t>
      </w:r>
      <w:r w:rsidR="00010F71" w:rsidRPr="007834F9">
        <w:rPr>
          <w:rFonts w:ascii="The Sans" w:hAnsi="The Sans"/>
          <w:sz w:val="22"/>
          <w:szCs w:val="22"/>
        </w:rPr>
        <w:t xml:space="preserve">), </w:t>
      </w:r>
      <w:r w:rsidR="00010F71" w:rsidRPr="00AA2B4E">
        <w:rPr>
          <w:rFonts w:ascii="The Sans" w:hAnsi="The Sans"/>
          <w:b/>
          <w:bCs/>
          <w:sz w:val="22"/>
          <w:szCs w:val="22"/>
        </w:rPr>
        <w:t xml:space="preserve">totalizando </w:t>
      </w:r>
      <w:r w:rsidR="004F0133">
        <w:rPr>
          <w:rFonts w:ascii="The Sans" w:hAnsi="The Sans"/>
          <w:b/>
          <w:bCs/>
          <w:sz w:val="22"/>
          <w:szCs w:val="22"/>
        </w:rPr>
        <w:t>US$</w:t>
      </w:r>
      <w:r w:rsidR="00010F71" w:rsidRPr="00AA2B4E">
        <w:rPr>
          <w:rFonts w:ascii="The Sans" w:hAnsi="The Sans"/>
          <w:b/>
          <w:bCs/>
          <w:sz w:val="22"/>
          <w:szCs w:val="22"/>
        </w:rPr>
        <w:t xml:space="preserve"> </w:t>
      </w:r>
      <w:r w:rsidR="004F0133">
        <w:rPr>
          <w:rFonts w:ascii="The Sans" w:hAnsi="The Sans"/>
          <w:b/>
          <w:bCs/>
          <w:sz w:val="22"/>
          <w:szCs w:val="22"/>
        </w:rPr>
        <w:t>500,00</w:t>
      </w:r>
      <w:r w:rsidR="00010F71" w:rsidRPr="00AA2B4E">
        <w:rPr>
          <w:rFonts w:ascii="The Sans" w:hAnsi="The Sans"/>
          <w:b/>
          <w:bCs/>
          <w:sz w:val="22"/>
          <w:szCs w:val="22"/>
        </w:rPr>
        <w:t xml:space="preserve"> </w:t>
      </w:r>
      <w:r w:rsidR="00010F71" w:rsidRPr="00AA2B4E">
        <w:rPr>
          <w:rFonts w:ascii="The Sans" w:hAnsi="The Sans"/>
          <w:sz w:val="22"/>
          <w:szCs w:val="22"/>
        </w:rPr>
        <w:t>(</w:t>
      </w:r>
      <w:r w:rsidR="004F0133">
        <w:rPr>
          <w:rFonts w:ascii="The Sans" w:hAnsi="The Sans"/>
          <w:sz w:val="22"/>
          <w:szCs w:val="22"/>
        </w:rPr>
        <w:t>quinhentos dólares</w:t>
      </w:r>
      <w:r w:rsidR="00010F71" w:rsidRPr="007834F9">
        <w:rPr>
          <w:rFonts w:ascii="The Sans" w:hAnsi="The Sans"/>
          <w:sz w:val="22"/>
          <w:szCs w:val="22"/>
        </w:rPr>
        <w:t>) para entrega dos produtos obrigatórios. Caso sejam contratados os produtos opcionais, os valores poderão ser revist</w:t>
      </w:r>
      <w:r w:rsidR="00AC22A0" w:rsidRPr="007834F9">
        <w:rPr>
          <w:rFonts w:ascii="The Sans" w:hAnsi="The Sans"/>
          <w:sz w:val="22"/>
          <w:szCs w:val="22"/>
        </w:rPr>
        <w:t>os.</w:t>
      </w:r>
    </w:p>
    <w:sectPr w:rsidR="00CC5568" w:rsidRPr="007834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A40B" w14:textId="77777777" w:rsidR="004D7CAB" w:rsidRDefault="004D7CAB" w:rsidP="00AC22A0">
      <w:r>
        <w:separator/>
      </w:r>
    </w:p>
  </w:endnote>
  <w:endnote w:type="continuationSeparator" w:id="0">
    <w:p w14:paraId="71CB62EA" w14:textId="77777777" w:rsidR="004D7CAB" w:rsidRDefault="004D7CAB" w:rsidP="00AC2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e Sans">
    <w:panose1 w:val="02000503040000020004"/>
    <w:charset w:val="00"/>
    <w:family w:val="auto"/>
    <w:pitch w:val="variable"/>
    <w:sig w:usb0="8000002F" w:usb1="00000048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1BA7" w14:textId="77777777" w:rsidR="00AC22A0" w:rsidRDefault="00AC22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9FE2" w14:textId="64D303AD" w:rsidR="007834F9" w:rsidRPr="007834F9" w:rsidRDefault="007834F9" w:rsidP="007834F9">
    <w:pPr>
      <w:pStyle w:val="Rodap"/>
      <w:jc w:val="center"/>
      <w:rPr>
        <w:color w:val="595959"/>
        <w:sz w:val="18"/>
      </w:rPr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 \* MERGEFORMAT </w:instrText>
    </w:r>
    <w:r>
      <w:rPr>
        <w:color w:val="595959"/>
        <w:sz w:val="18"/>
      </w:rPr>
      <w:fldChar w:fldCharType="separate"/>
    </w:r>
    <w:r>
      <w:rPr>
        <w:noProof/>
        <w:color w:val="595959"/>
        <w:sz w:val="18"/>
      </w:rPr>
      <w:t>3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 \* MERGEFORMAT </w:instrText>
    </w:r>
    <w:r>
      <w:rPr>
        <w:color w:val="595959"/>
        <w:sz w:val="18"/>
      </w:rPr>
      <w:fldChar w:fldCharType="separate"/>
    </w:r>
    <w:r>
      <w:rPr>
        <w:noProof/>
        <w:color w:val="595959"/>
        <w:sz w:val="18"/>
      </w:rPr>
      <w:t>3</w:t>
    </w:r>
    <w:r>
      <w:rPr>
        <w:color w:val="595959"/>
        <w:sz w:val="18"/>
      </w:rPr>
      <w:fldChar w:fldCharType="end"/>
    </w:r>
  </w:p>
  <w:p w14:paraId="472AF5AE" w14:textId="3AB531DC" w:rsidR="00AC22A0" w:rsidRDefault="00AC22A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8DF8" w14:textId="77777777" w:rsidR="00AC22A0" w:rsidRDefault="00AC22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699C" w14:textId="77777777" w:rsidR="004D7CAB" w:rsidRDefault="004D7CAB" w:rsidP="00AC22A0">
      <w:r>
        <w:separator/>
      </w:r>
    </w:p>
  </w:footnote>
  <w:footnote w:type="continuationSeparator" w:id="0">
    <w:p w14:paraId="642EC7C7" w14:textId="77777777" w:rsidR="004D7CAB" w:rsidRDefault="004D7CAB" w:rsidP="00AC2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03AE" w14:textId="77777777" w:rsidR="00AC22A0" w:rsidRDefault="00AC22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4D32" w14:textId="7AD04AB0" w:rsidR="00AC22A0" w:rsidRPr="007834F9" w:rsidRDefault="00AC22A0" w:rsidP="007834F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F929" w14:textId="77777777" w:rsidR="00AC22A0" w:rsidRDefault="00AC22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733B"/>
    <w:multiLevelType w:val="hybridMultilevel"/>
    <w:tmpl w:val="E116B5E0"/>
    <w:lvl w:ilvl="0" w:tplc="F4C6042A">
      <w:start w:val="1"/>
      <w:numFmt w:val="bullet"/>
      <w:lvlText w:val="•"/>
      <w:lvlJc w:val="left"/>
      <w:pPr>
        <w:ind w:left="360" w:hanging="240"/>
      </w:pPr>
    </w:lvl>
    <w:lvl w:ilvl="1" w:tplc="F7889ED8">
      <w:numFmt w:val="decimal"/>
      <w:lvlText w:val=""/>
      <w:lvlJc w:val="left"/>
    </w:lvl>
    <w:lvl w:ilvl="2" w:tplc="72EC6ACC">
      <w:numFmt w:val="decimal"/>
      <w:lvlText w:val=""/>
      <w:lvlJc w:val="left"/>
    </w:lvl>
    <w:lvl w:ilvl="3" w:tplc="9362909A">
      <w:numFmt w:val="decimal"/>
      <w:lvlText w:val=""/>
      <w:lvlJc w:val="left"/>
    </w:lvl>
    <w:lvl w:ilvl="4" w:tplc="E01AF16C">
      <w:numFmt w:val="decimal"/>
      <w:lvlText w:val=""/>
      <w:lvlJc w:val="left"/>
    </w:lvl>
    <w:lvl w:ilvl="5" w:tplc="4F40ACDE">
      <w:numFmt w:val="decimal"/>
      <w:lvlText w:val=""/>
      <w:lvlJc w:val="left"/>
    </w:lvl>
    <w:lvl w:ilvl="6" w:tplc="5E44DE56">
      <w:numFmt w:val="decimal"/>
      <w:lvlText w:val=""/>
      <w:lvlJc w:val="left"/>
    </w:lvl>
    <w:lvl w:ilvl="7" w:tplc="2FCACF64">
      <w:numFmt w:val="decimal"/>
      <w:lvlText w:val=""/>
      <w:lvlJc w:val="left"/>
    </w:lvl>
    <w:lvl w:ilvl="8" w:tplc="EDC2AC86">
      <w:numFmt w:val="decimal"/>
      <w:lvlText w:val=""/>
      <w:lvlJc w:val="left"/>
    </w:lvl>
  </w:abstractNum>
  <w:abstractNum w:abstractNumId="1" w15:restartNumberingAfterBreak="0">
    <w:nsid w:val="0C4A2128"/>
    <w:multiLevelType w:val="hybridMultilevel"/>
    <w:tmpl w:val="25AA360A"/>
    <w:lvl w:ilvl="0" w:tplc="05C491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41E46"/>
    <w:multiLevelType w:val="hybridMultilevel"/>
    <w:tmpl w:val="59AC6D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6FF3"/>
    <w:multiLevelType w:val="hybridMultilevel"/>
    <w:tmpl w:val="073259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2895"/>
    <w:multiLevelType w:val="hybridMultilevel"/>
    <w:tmpl w:val="38DE2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2268A"/>
    <w:multiLevelType w:val="hybridMultilevel"/>
    <w:tmpl w:val="876498D6"/>
    <w:lvl w:ilvl="0" w:tplc="05C491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3775C"/>
    <w:multiLevelType w:val="hybridMultilevel"/>
    <w:tmpl w:val="073259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A0B4A"/>
    <w:multiLevelType w:val="hybridMultilevel"/>
    <w:tmpl w:val="79702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A57D0"/>
    <w:multiLevelType w:val="hybridMultilevel"/>
    <w:tmpl w:val="27BCD4C8"/>
    <w:lvl w:ilvl="0" w:tplc="860C15BA">
      <w:start w:val="1"/>
      <w:numFmt w:val="bullet"/>
      <w:lvlText w:val="●"/>
      <w:lvlJc w:val="left"/>
      <w:pPr>
        <w:ind w:left="720" w:hanging="360"/>
      </w:pPr>
    </w:lvl>
    <w:lvl w:ilvl="1" w:tplc="C02A7E94">
      <w:start w:val="1"/>
      <w:numFmt w:val="bullet"/>
      <w:lvlText w:val="○"/>
      <w:lvlJc w:val="left"/>
      <w:pPr>
        <w:ind w:left="1440" w:hanging="360"/>
      </w:pPr>
    </w:lvl>
    <w:lvl w:ilvl="2" w:tplc="523EAEC0">
      <w:start w:val="1"/>
      <w:numFmt w:val="bullet"/>
      <w:lvlText w:val="■"/>
      <w:lvlJc w:val="left"/>
      <w:pPr>
        <w:ind w:left="2160" w:hanging="360"/>
      </w:pPr>
    </w:lvl>
    <w:lvl w:ilvl="3" w:tplc="A81EFDEC">
      <w:start w:val="1"/>
      <w:numFmt w:val="bullet"/>
      <w:lvlText w:val="●"/>
      <w:lvlJc w:val="left"/>
      <w:pPr>
        <w:ind w:left="2880" w:hanging="360"/>
      </w:pPr>
    </w:lvl>
    <w:lvl w:ilvl="4" w:tplc="0F626F58">
      <w:start w:val="1"/>
      <w:numFmt w:val="bullet"/>
      <w:lvlText w:val="○"/>
      <w:lvlJc w:val="left"/>
      <w:pPr>
        <w:ind w:left="3600" w:hanging="360"/>
      </w:pPr>
    </w:lvl>
    <w:lvl w:ilvl="5" w:tplc="E01C2C04">
      <w:start w:val="1"/>
      <w:numFmt w:val="bullet"/>
      <w:lvlText w:val="■"/>
      <w:lvlJc w:val="left"/>
      <w:pPr>
        <w:ind w:left="4320" w:hanging="360"/>
      </w:pPr>
    </w:lvl>
    <w:lvl w:ilvl="6" w:tplc="00E83DF2">
      <w:start w:val="1"/>
      <w:numFmt w:val="bullet"/>
      <w:lvlText w:val="●"/>
      <w:lvlJc w:val="left"/>
      <w:pPr>
        <w:ind w:left="5040" w:hanging="360"/>
      </w:pPr>
    </w:lvl>
    <w:lvl w:ilvl="7" w:tplc="F154E520">
      <w:start w:val="1"/>
      <w:numFmt w:val="bullet"/>
      <w:lvlText w:val="●"/>
      <w:lvlJc w:val="left"/>
      <w:pPr>
        <w:ind w:left="5760" w:hanging="360"/>
      </w:pPr>
    </w:lvl>
    <w:lvl w:ilvl="8" w:tplc="B0B80EB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3D57F8B"/>
    <w:multiLevelType w:val="hybridMultilevel"/>
    <w:tmpl w:val="8E745A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8129E"/>
    <w:multiLevelType w:val="hybridMultilevel"/>
    <w:tmpl w:val="E878F9DC"/>
    <w:lvl w:ilvl="0" w:tplc="E0140D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015760">
    <w:abstractNumId w:val="8"/>
    <w:lvlOverride w:ilvl="0">
      <w:startOverride w:val="1"/>
    </w:lvlOverride>
  </w:num>
  <w:num w:numId="2" w16cid:durableId="1403261648">
    <w:abstractNumId w:val="0"/>
    <w:lvlOverride w:ilvl="0">
      <w:startOverride w:val="1"/>
    </w:lvlOverride>
  </w:num>
  <w:num w:numId="3" w16cid:durableId="685788941">
    <w:abstractNumId w:val="9"/>
  </w:num>
  <w:num w:numId="4" w16cid:durableId="1264192318">
    <w:abstractNumId w:val="10"/>
  </w:num>
  <w:num w:numId="5" w16cid:durableId="125508375">
    <w:abstractNumId w:val="1"/>
  </w:num>
  <w:num w:numId="6" w16cid:durableId="492185500">
    <w:abstractNumId w:val="5"/>
  </w:num>
  <w:num w:numId="7" w16cid:durableId="95833589">
    <w:abstractNumId w:val="6"/>
  </w:num>
  <w:num w:numId="8" w16cid:durableId="1428766837">
    <w:abstractNumId w:val="2"/>
  </w:num>
  <w:num w:numId="9" w16cid:durableId="667370117">
    <w:abstractNumId w:val="4"/>
  </w:num>
  <w:num w:numId="10" w16cid:durableId="1105660199">
    <w:abstractNumId w:val="7"/>
  </w:num>
  <w:num w:numId="11" w16cid:durableId="314916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B3B"/>
    <w:rsid w:val="00010F71"/>
    <w:rsid w:val="00021360"/>
    <w:rsid w:val="0005017D"/>
    <w:rsid w:val="00083EC6"/>
    <w:rsid w:val="000A228D"/>
    <w:rsid w:val="000B1D66"/>
    <w:rsid w:val="00182D41"/>
    <w:rsid w:val="00187346"/>
    <w:rsid w:val="001965C6"/>
    <w:rsid w:val="001B27B7"/>
    <w:rsid w:val="001C7C85"/>
    <w:rsid w:val="0020252B"/>
    <w:rsid w:val="00205047"/>
    <w:rsid w:val="002457D3"/>
    <w:rsid w:val="002C359D"/>
    <w:rsid w:val="002F381D"/>
    <w:rsid w:val="003078D0"/>
    <w:rsid w:val="0033407A"/>
    <w:rsid w:val="003D5F50"/>
    <w:rsid w:val="00466A2C"/>
    <w:rsid w:val="004D50E0"/>
    <w:rsid w:val="004D7CAB"/>
    <w:rsid w:val="004F0133"/>
    <w:rsid w:val="00506BD3"/>
    <w:rsid w:val="005511DA"/>
    <w:rsid w:val="00596198"/>
    <w:rsid w:val="00597FC7"/>
    <w:rsid w:val="005C0473"/>
    <w:rsid w:val="005C584B"/>
    <w:rsid w:val="005E4BAF"/>
    <w:rsid w:val="005F7D54"/>
    <w:rsid w:val="00613A25"/>
    <w:rsid w:val="0067552D"/>
    <w:rsid w:val="006F6B1A"/>
    <w:rsid w:val="0074073C"/>
    <w:rsid w:val="007834F9"/>
    <w:rsid w:val="007E5573"/>
    <w:rsid w:val="008128E4"/>
    <w:rsid w:val="008159B5"/>
    <w:rsid w:val="00916C74"/>
    <w:rsid w:val="00922359"/>
    <w:rsid w:val="00934C30"/>
    <w:rsid w:val="00941692"/>
    <w:rsid w:val="00963C8A"/>
    <w:rsid w:val="00A13071"/>
    <w:rsid w:val="00A67B44"/>
    <w:rsid w:val="00A8581E"/>
    <w:rsid w:val="00AA10C7"/>
    <w:rsid w:val="00AA2B4E"/>
    <w:rsid w:val="00AC22A0"/>
    <w:rsid w:val="00AC77F8"/>
    <w:rsid w:val="00B3777D"/>
    <w:rsid w:val="00BD3F01"/>
    <w:rsid w:val="00C33EBB"/>
    <w:rsid w:val="00C37D96"/>
    <w:rsid w:val="00C66275"/>
    <w:rsid w:val="00C71E54"/>
    <w:rsid w:val="00C87439"/>
    <w:rsid w:val="00C908BF"/>
    <w:rsid w:val="00CA2690"/>
    <w:rsid w:val="00CC5568"/>
    <w:rsid w:val="00CD01C2"/>
    <w:rsid w:val="00E22953"/>
    <w:rsid w:val="00E8430D"/>
    <w:rsid w:val="00EF7BD0"/>
    <w:rsid w:val="00F23B3B"/>
    <w:rsid w:val="00F56CF2"/>
    <w:rsid w:val="00F7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B467B"/>
  <w15:docId w15:val="{E4FC8576-25F2-4D24-9ED9-902D78A1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deGradeClara">
    <w:name w:val="Grid Table Light"/>
    <w:basedOn w:val="Tabelanormal"/>
    <w:uiPriority w:val="40"/>
    <w:rsid w:val="006755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67552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unhideWhenUsed/>
    <w:rsid w:val="00AC22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22A0"/>
  </w:style>
  <w:style w:type="paragraph" w:styleId="Rodap">
    <w:name w:val="footer"/>
    <w:basedOn w:val="Normal"/>
    <w:link w:val="RodapChar"/>
    <w:uiPriority w:val="99"/>
    <w:unhideWhenUsed/>
    <w:rsid w:val="00AC22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2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76AF54-FC18-477E-ACA9-F8DBBBB8720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a0df1351-ac8b-4faf-a918-fe64aa5a90e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992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revisão ToC e indicadores</dc:title>
  <dc:creator>Gisele Obara</dc:creator>
  <cp:lastModifiedBy>Lucas Fernandes</cp:lastModifiedBy>
  <cp:revision>4</cp:revision>
  <cp:lastPrinted>2026-05-15T22:33:00Z</cp:lastPrinted>
  <dcterms:created xsi:type="dcterms:W3CDTF">2026-05-15T22:33:00Z</dcterms:created>
  <dcterms:modified xsi:type="dcterms:W3CDTF">2026-05-19T14:56:00Z</dcterms:modified>
</cp:coreProperties>
</file>