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Background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University of Glasgow is in the process of developing a graduate apprenticeship degree in software engineering, planned to start in September 2019. The initiative is a part of a larger nationwide attempt to  mend the digital shortage gap present in the industry, where computing science students many times lack sufficient skills in demand by employers. While the improvement of digital skills are important for students employability , soft skills such as communication and project management are skills that are highly in demand by employers but that engineering students many times are lacking[7]. Further, the knowing of how to learn and the ability to critically self reflect on the learning process is an important skill in industries that constantly changes [8]. In the context of engineering this becomes especially relevant considering the changing nature of technology.</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The Patchwork text method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patchwork text assessment is a method that has proved to improve critical self-reflection and communication skills in students, and has been applied with success in work-based learning programs and modules with practical elements such as nursing and social work. It originally appeared as a response to the problems of learning and the assessment of learning within education. Due to the method, other forms of assessment methods such as the essay fails to accomodate students with different abilities and previous experiences of academic writing, resulting in many students achieving poorly in these modules. It recognises that writing is a skill that demands critical reflection and deep understanding of a topic, and argues that the essay format encourages superficial learning where students learn how to play the game rather than developing real knowledge.</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method aims to improve critical thinking and deep learning by proposing  an alternative structure for assessment that unifies retrospective summations of knowledge with the view of knowledge as something gradually accumulated (Winter &amp; Scoggins 1996). Trevelyan &amp; Wilson (2011) summarising the key objectives of the patchwork text method being continuous learning, deep learning, integrated understanding of a topic and metacognitive self-reflection.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Structure</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core characteristics of the method is that students generate patches in form of small individual assessments throughout a learning module. Every patch are being shared and reviewed within small working groups, giving students a possibility to get feedback and learn from viewing other students submissions. After a number of patchcycles and in the end of the module students get to choose a number of patches which they then stitch into a final integrated piece, the patchwork quilt, underlining the autonomy of the learning progress.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Apart from the core features of the patchwork text assessment, there are also variances in how it previously has been implemented. One is the flow of patches, if they are advancements in the same topic or all on separate topics. In some implementations the students receive summative feedback on every patch while in others they only get it on the final patch. Another difference is if students submit a reflective piece where they discuss their learning progress in the final integrated quilt, or if the final quilt viewed as a reflective piece in itself. There are also variances in if students get to revisit and edit old patches before the final submission. </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Challenges in implementation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An important part of the patchwork text method is that students in every patch share their submissions within smaller groups and are offered formative feedback from their peers (Winter 2003). A challenge that this brings is that the success of peer reviews depend on the quality of the feedback, which in its turn depend on the feedback literacy of the students. (Carless &amp; Boud 2018). Some factors that can slightly increase the quality of the peer review is to scaffold it by using directed questions. This way a teacher can guide students and make sure they assess their peers after certain criterias or rubrics, which can improve the quality of the feedback even among less able students (Meek et. al. 2017). (Staubitz et. al 2016). Another way to improve the effect of formative feedback on students learning progress is if they receive it from teachers on every patch. However, a challenge to implement this is the increase in resources it takes and the extra pressure it puts on teachers (Sapouna 2016).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Assessment within the patchwork text method is also complex due to the evolving nature of the method. Teachers are not only assessing the final integrated patchwork quilt, but the learning process as a whole. This means that they have to take all patches into consideration along with feedback students have received, and assess how well students have responded and learnt from this feedback throughout the module [9]. The result is more time and resources having to be spent in order to address these challenges with the patchwork text method.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Adaptive Comparative Judgement(ACJ)</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Adaptive comparative judgement(ACJ) is method that is based on the assumptions that human judgement is relative, and that the value of an object therefore only can be retrieved in comparison to another object. The method has recently been adopted within education as an alternative marking method and has proved to be much more efficient and reliable than other methods such as criteria based marking and rubrics. It also supports different formats and can favourably be used in areas where the subjects of judgement are less objective, such as in arts and writing (Pollitt 2012).</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method is a development of Thurstones comparative judgement, which states that the difference in quality between two objects A and B is equal to the logarithm of the odds that A will beat B, and is expressed in the following equation: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Scripts are randomly presented in pairs for judges who simply pick which one of them is better. The winning script receive a score, which will later make the basis of the calculation of value. Following the first round, scripts are then paired with scripts that has a similar score as themselves, a method called swiss tournament. After a few rounds of pairing scripts with similar scores to each other, the Maximum-Likelihood method is applied to optimise the value parameters. This is done through the following equation: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high reliability and efficiency of ACJ has made it a promising future alternative to marking within education. Though mostly used by teachers in the form of summative assessment, researchers have also explored its potential for formative assessment in the form of student led peer-reviews. Results have shown that the method produces judgements with high reliability even among less capable students, meaning that students of all capabilities are able to recognise quality, independent of their own performance.  It has also shown that the performance of students and the quality of their work significantly improves over time, meaning that the holistic judgement process help students in self-evaluating and self-regulating [10].</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Existing software implementations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There are currently no existing system specifically designed for supporting a patchwork text assessment module. Previous implementations of the patchwork text that have used digital tools have  used a range of different mediums, such as blogs and online forums, but also personal learning systems and virtual learning environments like Pebblepad (Chesney &amp; Marcangelo 2009), Blackboard(Marcangelo 2011) and Moodle (Hager et. al. 2016). Since none of these applications are specifically designed to scaffold the patchwork text method, there are certain features of the method that are not supported. ACJ has been implemented through software such as NoMoreMaring, but do not currently exist integrated in a virtual learning environment.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the following diagram, an overview of the existing software and the important features of the patchwork text method are contrasted. Many of the online learning systems are not accessible if not a part of the institution, so the features are gathered from literature and forums, as well as viewing the systems websites.</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Justification of proposed system</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As discussed in this chapter, there are currently no existing software that fully supports patchwork text method. Though different applications have been used in previous implementations, they fail to adress the challenges that appear in an online-based module. The importance for students to receive constructive and valid feedback, and the ability for teachers to assess students on their full learning process, are important parts of the the method according to previous presented literature. However, strained time and resources within education make this a challenge. A software that would implement the patchwork text should therefore preferably find a way to solve these issues to be considered successful. As argued in the this chapter, ACJ is a method that not only facilitate more efficient and reliable marking, but has also proved its worth as a formative feedback tool for students to use in peer review. To create a software application that successfully implements the patchwork text method aimed at students in work-based learning, it would therefore make sense to incorporate ACJ as a tool for both summative and formative feedback, with the aim of addressing previous mentioned challenges.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2"/>
          <w:shd w:fill="auto" w:val="clear"/>
        </w:rPr>
        <w:t xml:space="preserve">Analysis and requirements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gathering of functional requirements for this application have been done by viewing literature and existing software presented in previous chapter. An interview has also been conducted with Derek Sommerville and Jack Parkinson who are involved in starting up the Graduate Apprenticeship in Software Engineering at the University of Glasgow. The interview was mainly used to inform non-functional requirements, the domain of the system, and to outline the users. A Use-case diagram was  drawn up in order to better clarify and identify the functional requirements of the system. A Use-case diagram is a behavioural diagram belonging to the Unified Modeling Language (UML), a model that aims to visualise the design of a system. The functional requirements was then ordered after priority by applying the MoSCoW analysis, a method that separates requirements in Must haves, Should haves, Could haves and Won't haves depending of their importantce to the project.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Users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users outlined from the literature review and the interview were Teacher, Student, and Judge. The teacher and student users was drawn out early in the project due to their relevence to the patchwork text method, and they will not be further described here. The judge as a user was created after it was decided that ACJ would be integrated into the project. The reason for creating a separate judge user is that they could be a user that were neither a teacher or a student, but an external user who would only interact with the system for the purpose of judging scripts. It was therefore viewed as important for teachers to be able to invite separate judges in the judging process without neccissary giving them the permissions and content that the teacher user role would  have access to, limiting security and confidentiality concerns.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One potential user that was considered prior to the interview was the Mentor user-role. However, it was decided based on information gathered from the interview that the main potential role of a mentor in the system would be to follow the progress of its student. The benefits of this would not outweigh the negatives, that the presence of a mentor might affect the students ability to apply critical thinking towards the work and workplace. Further, there would exist a separate system where the mentor would be able to track the students progress, so this would not be a requirement of the proposed system.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Functional requirements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Must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Must have requirements are requirements that are critical to the software product, where without them the product will not be able to be delivered [11]. The following Must have requirements are based on the earlier presented literature, and is representing the core elements of the patchwork text method. They were judged as must have requirements due to them being essential for the definition of the method, and without any of them the application could not claim to implement a patchwork text method, and its delivery would be pointless.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timeline of patches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individual patches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make a submission to a patch</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and give feedback on group-members’ patches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feedback on own patch</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edit their original patch</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write final submission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divide students into group</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view students submissions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Should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Should have requirements are the requirements that based on earlier literature review are important to include to address the challenges that appear when implementing the patchwork text method. The ability for both students and teachers to use ACJ to judge students submissions, as well as the ability to overview the learning progress, have been set as a should have requirement. This might be viewed as contrasting the importance it was given in previous chapter. However, despite being argued as important feature to implement the patchwork text method successfully, it is not a vital part of the method itself. Further, it is judged to be an extensive requirement to implement, so due to limited time and development rescources it has to be prioritied as a Should have requirement rather than a Must have requirement.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Should have requirements also include some of the features of the patchwork text method discussed in the literature review that form a more flexible version of the method. The requirements picked are the ones that most align to the overall objectives of the method; continuous learning, deep learning, integrated understanding of a topic and metacognitive self-reflection (Trevylin wilson 2011).</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their own progress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write reflective commentary on their own progress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pick what patches to use for the final patchwork quilt</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give feedback on other students submissions based on rubrics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judge other students submissions with ACJ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judge students submissions with ACJ</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view students progress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Could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could have requirements are the requirements gathered from the flexible version of the patchwork text method, but with aims being student autonomy rather than the overall objectives of the patchwork text method itself as presented in earlier sections. Other requirements that aims to motivate students have also been prioritied as Could have, such as students being able to see and compare their ACJ scores and to only receive own feedback after completing all peer reviews. These are methods that have been proved to increase engagement in Virtual learning environments in general,  but are not specifically useful in the context of this project.</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Could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its own score relative to its group-members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its own score relative to the course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their peer feedback only after submitting own reviews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select order of patches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select patches in a range of choices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Will not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ability to upload multimedia have been less prioritised due to the aim of the project being to improve writing ability. Further, a mentor will not have access to the system at this time.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upload multimedia</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Mentor can view students submissions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Mentor can view students score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Non-functional requirements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System needs to be accessible from different locations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System needs to be accessible anytime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Design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System architecture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An important non-functional requirement of the system is that it needs to be accessible from different locations, due to the users being students on work placements. The nature of the patchwork text method also requires the ability for students to work on their patches when it suits them. The easiest way to accommodate this was to implement the application as a web application, since it would mean students could access it from any location any time.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Model-View-Controller (MVC)</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MVC design pattern separates the business-logic of an application from the presentation layer, with the aim of decoupling these modules. The objective is to create more testable and maintainable units that can easily be reused. This is especially valuable in web applications where the view interface might need to be updated more frequently to compete with demands. It is also easier to scale the application and integrate other components when the modules are decoupled.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Database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Drawing from the requirements section, a number of logical entities were established that became the basis for the design of the database. In the initial design the entities were only related to the patchwork text, but in a later stage of development the entities of the ACJ were added, resulting in a total of 11 entities. It was originally planned that the only data concerning ACJ that would be stored in the database was the calculated values of each script. However, this would mean that the results only would be written to the database after every judging round, and if one round was not completed it would result in loss of all data for that round. Considering how much effort that goes into the judgement of only two scripts, it was seen as important to update the database with data after every judgement.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Patchwork text entities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entities drawn from the requirements of the patchwork text was Patch, Submission, Submission-edits, Feedback, Peer-review rubric, Teacher and Student. The Patch entity representing a single patch and its instruction, and the Submission entity holds what students submit towards every patch. The Submission_edits entity stores all the changes students make to a certain submission. The Feedback-entity was created to store all feedback given on a certain submission, including teachers and students. The Peer review rubric-entity holding any potential rubric the teacher would add. It was created as a separate table since the rubric would be an optional element to the feedback instructions, therefore it was necessary to decouple it from the Feedback entity.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ACJ entities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entities created from the requirements of the ACJ were Judge, Round, Script and Judgement. A Script entity were created as a representation of a submission to be judged, since not all submissions would be used, therefore avoiding null values in the submission table. The Round entity made it possible to store a history of judgements in the database, as well as keep track on the reliability level in every round. The Judgement entity was created to store every decision made and serves as a connecting bridge between the other ACJ-entities. Last, a Judge entity was made to represent the user making the judgements.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ER-diagram</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following is a compressed ER-diagram representing the database design. A full description of the entities and its attributes can be found in the appendix.</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8827" w:dyaOrig="4170">
          <v:rect xmlns:o="urn:schemas-microsoft-com:office:office" xmlns:v="urn:schemas-microsoft-com:vml" id="rectole0000000000" style="width:441.350000pt;height:20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Interfaces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designing the interfaces there were a lot of factors that were taken into consideration that affected the end design.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the following section, the design of the most important interfaces will be presented and justified. Interfaces that are common to all websites and supports login/register, and other CRUD-related functionalities are not being discussed here due to limited space.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Student home view</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student home page were designed to represent the timeline of the whole patchwork text module from a students perspective. The page was kept simple and only consisted of a timeline of patches, being clickable links leading to each individual patch cycle.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8260" w:dyaOrig="4231">
          <v:rect xmlns:o="urn:schemas-microsoft-com:office:office" xmlns:v="urn:schemas-microsoft-com:vml" id="rectole0000000001" style="width:413.000000pt;height:211.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Patch cycle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patch cycle consisted of several subviews that together make up the concept of a patch cycle according to previous literature review. To capture the sequence of the tasks within the cycle, but at the same time make it clear that they all could be accessed at any time, the main activities were linked in sequential order in a sub-header. The background color were also changed to contrast it from the home view, and were consistent in all the subviews within the patch cycle to keep consistency.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8524" w:dyaOrig="3887">
          <v:rect xmlns:o="urn:schemas-microsoft-com:office:office" xmlns:v="urn:schemas-microsoft-com:vml" id="rectole0000000002" style="width:426.200000pt;height:194.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Century Schoolbook" w:hAnsi="Century Schoolbook" w:cs="Century Schoolbook" w:eastAsia="Century Schoolbook"/>
          <w:b/>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Peer review</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peer review consisted of two separate views. The first one showing the students in the current logged in users group.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8524" w:dyaOrig="4089">
          <v:rect xmlns:o="urn:schemas-microsoft-com:office:office" xmlns:v="urn:schemas-microsoft-com:vml" id="rectole0000000003" style="width:426.200000pt;height:20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Clicking one of the student would take the user to the second view, where they would see the students submission and the rubrics.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Final patchwork quilt</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design of the interface that were going to represent the final patchwork quilt were the most important yet challenging step in the design process. Following the requirements, the interface needed to capture the essens of the patchwork text method and provide the user with an overview of their own progress over the length of the module. This included how the user had interacted with feedback, and the challenge was to include all this information in a visually satisfying and comprehensive format. The inspiration for the set design was drawn from mediums that are used to represent timelines of reflection, such as blogs, but also version control tools such as Git.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Teacher home page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requirements for the teacher user in the system was to be able to monitor the students progress. The simplest way to do this was to create a table where the teacher easy could get an overview of the students activities. The table needed to include submissions students made and if they submitted on time. Considering the importance of progress in the patchwork text metod, it was also seen as important to include a column in the table that displayed the number of times a student had gone back to edit their original submission. Apart from viewing the progress of a student, it would also highligt students that might not be very engaged in the process and that might need extra support. </w:t>
      </w:r>
    </w:p>
    <w:p>
      <w:pPr>
        <w:spacing w:before="0" w:after="0" w:line="240"/>
        <w:ind w:right="0" w:left="0" w:firstLine="0"/>
        <w:jc w:val="both"/>
        <w:rPr>
          <w:rFonts w:ascii="Century Schoolbook" w:hAnsi="Century Schoolbook" w:cs="Century Schoolbook" w:eastAsia="Century Schoolbook"/>
          <w:b/>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6"/>
          <w:shd w:fill="auto" w:val="clear"/>
        </w:rPr>
        <w:t xml:space="preserve">Implementation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Back-end framework</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Since the must have requirements for this project was quite extensive, it was judged as important to use a framework in order to speed up the development of the application. Django was chosen over other frameworks since it facilitate rapid prototype development and brings a lot of features out of the box (Kalu</w:t>
      </w:r>
      <w:r>
        <w:rPr>
          <w:rFonts w:ascii="Century Schoolbook" w:hAnsi="Century Schoolbook" w:cs="Century Schoolbook" w:eastAsia="Century Schoolbook"/>
          <w:color w:val="auto"/>
          <w:spacing w:val="0"/>
          <w:position w:val="0"/>
          <w:sz w:val="22"/>
          <w:shd w:fill="auto" w:val="clear"/>
        </w:rPr>
        <w:t xml:space="preserve">ž et. al. 2019). It also comes with an admin interface that makes management and testing of the database easier.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Model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View</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Template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Front-end</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Functionality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Users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Writing</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An important functionality for the students in the system is to be able to write, submit and edit pieces of text in every patch-cycle. In Django this functionality is usually implemented through Django Forms using an input TextField, which unstyled appear as a simple square input box where the user can write into and then submit. However, it was judged as important to offer students a better experience in the writing process considering the context  and aim of the application. Students are also expected to spend a large percentage of their time in the system on this functionality, so the ability to customise and style their writing were seen as important for the students satisfaction with the system. To accomodate this, the </w:t>
      </w:r>
      <w:r>
        <w:rPr>
          <w:rFonts w:ascii="Century Schoolbook" w:hAnsi="Century Schoolbook" w:cs="Century Schoolbook" w:eastAsia="Century Schoolbook"/>
          <w:color w:val="auto"/>
          <w:spacing w:val="0"/>
          <w:position w:val="0"/>
          <w:sz w:val="22"/>
          <w:shd w:fill="auto" w:val="clear"/>
        </w:rPr>
        <w:t xml:space="preserve">WYSIWYG-text editor Django summernote was integrated as a widget in the submission forms. It was selected due to being popular, lightweight and easy to integrate, as well as supporting file- and image-uploading.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Editing</w:t>
      </w:r>
      <w:r>
        <w:rPr>
          <w:rFonts w:ascii="Century Schoolbook" w:hAnsi="Century Schoolbook" w:cs="Century Schoolbook" w:eastAsia="Century Schoolbook"/>
          <w:color w:val="auto"/>
          <w:spacing w:val="0"/>
          <w:position w:val="0"/>
          <w:sz w:val="22"/>
          <w:shd w:fill="auto" w:val="clear"/>
        </w:rPr>
        <w:t xml:space="preserv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One important requirement for this project was to create an overview of the students progress both during a single patch and throughout the whole module. As presented in the previous chapter, the intended design of this requirement was to display the history of each submissions editing, showing timestamps of all changes that had been made. In order to implement this, the Google Diff-Match-Patch-libraries were used. Originally created for Google Docs, it is a library that hosts several algorithms to aid in the synchronisation of text. It was selected over other options such as pythons own DiffLib library, since it also provide a function that returns the result in HTML-format making it easier to display.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After computing the differences of a students original submission and the edited version, it was saved in the database. A difficulty that arised at this point was to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Google Diff Match Patch</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BeuatifulSoup</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2"/>
          <w:shd w:fill="auto" w:val="clear"/>
        </w:rPr>
        <w:t xml:space="preserve">Testing and Evaluation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aim of the software is to improve students writing abilities by offering scaffolding to support the patchwork text method. Since this is a gradual process that usually takes place over the course of a module, it has been difficult to evaluate the effectiveness of the system. It is also difficult to evaluate how the system is representative of the patchwork text method, since this would require knowledge of the method. Instead, the user evaluation has focused on the general usability of the system and with focus on the features perceived as adding most value to the research project as a whole.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Usability refers to the effectiveness, efficiency and with what satisfaction a certain users can use an application to reach a specific goal (ISO 9241-11).  (Article) argues that usability in the context of web based learning platforms can be divided into technical and pedagogical usability, where the former relates to the interaction between the user and the system, and the latter are about the actual learning process. Although separate, they are at the same time highly intertwined where the learning process is dependent on how well the user can interact with the system (A Conceptual Framework for Using and Evaluating Web-Based Learning Resources in School Education , 2010). However, they can also to contradict each other, and an interaction can measure low in efficiency but at the same time high in pedagogical usability since the extra effort spent on the task might result in deeper learning. For this reason, the evaluation of the system has focused on user satisfaction and effectiveness rather than efficiency, since one main aim of the application is to engourage deep learning.</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 mix of quantitative and qualitative methods were used in the evaluation to gather data. To evaluate the most important features of this project, the method used were task scenarios, a method where participants are asked to perform specific tasks within a context. The ‘Think out loud’ technique was applied in order to gather qualitative data of usability. The tasks selected were highly prioritised use cases. Upon completion, the participants were also asked answer some questions about their experience.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To quantify the allover subjective usability with the system the System Usability Scale (SUS) was applied. It is a quick and reliable way to evaluate perceived usefulness of a system even with a small sample size, and has proved favourable to use in evaluation of educational software [4].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Participants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user evaluation was split in two parts, one focusing on the student experience and one on the teacher experience. The participants in the student evaluation were all computer science students at the University of Glasgow, therefore representing realistic users of the system. The participant in the teacher evaluation was a teacher.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Evaluation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During the evaluation the participants were first asked about their previous knowledge of the patchwork text method and experience of virtual learning environments. They were then asked to complete three tasks. The first one was to go into one of the patches and make a submission. They were then asked to give feedback to one of their peers based on rubrics, followed by using ACJ to compare peer submissions with each other. Following this they were asked to complete questions rating the difficulty of the both methods of peer review. The final task they were asked to go back and edit their submission multiple times, go to the final quilt, select the submission they just edited, and view the edit history. </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Results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References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1.CONTEXTUALISING THE PATCHWORK TEXT: ADDRESSING PROBLEMS OF COURSEWORK ASSESSMENT IN HIGHER EDUCATION Winter 2003.</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2.Kaluz et al 2019 </w:t>
      </w:r>
      <w:hyperlink xmlns:r="http://schemas.openxmlformats.org/officeDocument/2006/relationships" r:id="docRId8">
        <w:r>
          <w:rPr>
            <w:rFonts w:ascii="Century Schoolbook" w:hAnsi="Century Schoolbook" w:cs="Century Schoolbook" w:eastAsia="Century Schoolbook"/>
            <w:color w:val="0000FF"/>
            <w:spacing w:val="0"/>
            <w:position w:val="0"/>
            <w:sz w:val="26"/>
            <w:u w:val="single"/>
            <w:shd w:fill="auto" w:val="clear"/>
          </w:rPr>
          <w:t xml:space="preserve">https://hrcak.srce.hr/219995?lang=en</w:t>
        </w:r>
      </w:hyperlink>
      <w:r>
        <w:rPr>
          <w:rFonts w:ascii="Century Schoolbook" w:hAnsi="Century Schoolbook" w:cs="Century Schoolbook" w:eastAsia="Century Schoolbook"/>
          <w:color w:val="auto"/>
          <w:spacing w:val="0"/>
          <w:position w:val="0"/>
          <w:sz w:val="26"/>
          <w:shd w:fill="auto" w:val="clear"/>
        </w:rPr>
        <w:t xml:space="preserve"> webframeworks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3.Engineering Students’ Perceptions of Soft Skills, Industry Expectations, and Career Aspirations 2016</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4.Perceived Usability Evaluation of Learning Management Systems: Empirical Evaluation of the System Usability Scale </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5.Usability Assessment of Moodle by Brazilian and Portuguese NursingStudents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THIS IS THE ONE!!!1</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6. </w:t>
      </w:r>
      <w:hyperlink xmlns:r="http://schemas.openxmlformats.org/officeDocument/2006/relationships" r:id="docRId9">
        <w:r>
          <w:rPr>
            <w:rFonts w:ascii="Century Schoolbook" w:hAnsi="Century Schoolbook" w:cs="Century Schoolbook" w:eastAsia="Century Schoolbook"/>
            <w:color w:val="0000FF"/>
            <w:spacing w:val="0"/>
            <w:position w:val="0"/>
            <w:sz w:val="26"/>
            <w:u w:val="single"/>
            <w:shd w:fill="auto" w:val="clear"/>
          </w:rPr>
          <w:t xml:space="preserve">https://pdfs.semanticscholar.org/80ab/69c79b53fb0566448209da63b853c11851ad.pdf</w:t>
        </w:r>
      </w:hyperlink>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7. Bridging the Digital Skills Gap: Are computing degree apprenticeships the answer?</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8. Learning through reflection: the critical role of reflection in work-based learning (WBL)</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9. Using patchwork texts in assessment: clarifying and categorising choices in their use</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10 Integrating learners into the assessment process using adaptive comparative judgement with an ipsative approach to identifying competence based gains relative to student ability levels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11 Neil Walkinshaw </w:t>
      </w:r>
      <w:r>
        <w:rPr>
          <w:rFonts w:ascii="Century Schoolbook" w:hAnsi="Century Schoolbook" w:cs="Century Schoolbook" w:eastAsia="Century Schoolbook"/>
          <w:color w:val="auto"/>
          <w:spacing w:val="0"/>
          <w:position w:val="0"/>
          <w:sz w:val="26"/>
          <w:shd w:fill="auto" w:val="clear"/>
        </w:rPr>
        <w:t xml:space="preserve">-</w:t>
      </w:r>
      <w:r>
        <w:rPr>
          <w:rFonts w:ascii="Century Schoolbook" w:hAnsi="Century Schoolbook" w:cs="Century Schoolbook" w:eastAsia="Century Schoolbook"/>
          <w:color w:val="auto"/>
          <w:spacing w:val="0"/>
          <w:position w:val="0"/>
          <w:sz w:val="22"/>
          <w:shd w:fill="auto" w:val="clear"/>
        </w:rPr>
        <w:t xml:space="preserve">Software Quality Assurance -Consistency in the Face of Complexity and Change</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Django summernote</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hyperlink xmlns:r="http://schemas.openxmlformats.org/officeDocument/2006/relationships" r:id="docRId10">
        <w:r>
          <w:rPr>
            <w:rFonts w:ascii="Century Schoolbook" w:hAnsi="Century Schoolbook" w:cs="Century Schoolbook" w:eastAsia="Century Schoolbook"/>
            <w:color w:val="0000FF"/>
            <w:spacing w:val="0"/>
            <w:position w:val="0"/>
            <w:sz w:val="26"/>
            <w:u w:val="single"/>
            <w:shd w:fill="auto" w:val="clear"/>
          </w:rPr>
          <w:t xml:space="preserve">https://djangopackages.org/grids/g/wysiwyg/</w:t>
        </w:r>
      </w:hyperlink>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djangopackages.org/grids/g/wysiwyg/"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ode="External" Target="https://pdfs.semanticscholar.org/80ab/69c79b53fb0566448209da63b853c11851ad.pdf" Id="docRId9" Type="http://schemas.openxmlformats.org/officeDocument/2006/relationships/hyperlink"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Mode="External" Target="https://hrcak.srce.hr/219995?lang=en" Id="docRId8" Type="http://schemas.openxmlformats.org/officeDocument/2006/relationships/hyperlink" /></Relationships>
</file>