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Steve Baker – FF PMA Therapeutic Protocol 2026</w:t>
      </w:r>
    </w:p>
    <w:p>
      <w:pPr>
        <w:pStyle w:val="Heading2"/>
      </w:pPr>
      <w:r>
        <w:t>Overview</w:t>
      </w:r>
    </w:p>
    <w:p>
      <w:r>
        <w:t xml:space="preserve">This is the finalized, clean version of Steve Baker’s 90‑Day FF PMA Therapeutic Protocol. </w:t>
      </w:r>
    </w:p>
    <w:p>
      <w:r>
        <w:t xml:space="preserve">It follows the same readability, structure, and flow as the example document you provided, with a clean layout </w:t>
      </w:r>
    </w:p>
    <w:p>
      <w:r>
        <w:t xml:space="preserve">and easy editing capability. All supplements, peptides, PCC bioregulators, detox systems, mitochondrial support, </w:t>
      </w:r>
    </w:p>
    <w:p>
      <w:r>
        <w:t>and HBOT directives have been incorporated in a streamlined format.</w:t>
      </w:r>
    </w:p>
    <w:p>
      <w:pPr>
        <w:pStyle w:val="Heading2"/>
      </w:pPr>
      <w:r>
        <w:t>Daily Schedule – Quick Reference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Time of Day</w:t>
            </w:r>
          </w:p>
        </w:tc>
        <w:tc>
          <w:tcPr>
            <w:tcW w:type="dxa" w:w="4320"/>
          </w:tcPr>
          <w:p>
            <w:r>
              <w:t>Actions</w:t>
            </w:r>
          </w:p>
        </w:tc>
      </w:tr>
      <w:tr>
        <w:tc>
          <w:tcPr>
            <w:tcW w:type="dxa" w:w="4320"/>
          </w:tcPr>
          <w:p>
            <w:r>
              <w:t>Morning</w:t>
            </w:r>
          </w:p>
        </w:tc>
        <w:tc>
          <w:tcPr>
            <w:tcW w:type="dxa" w:w="4320"/>
          </w:tcPr>
          <w:p>
            <w:r>
              <w:t>- MitoStac™ (1 stick)</w:t>
              <w:br/>
              <w:t>- Reds + Greens + Elixir + Bio‑Vitamin</w:t>
              <w:br/>
              <w:t>- Nascent Iodine</w:t>
              <w:br/>
              <w:t>- Mighty Blue</w:t>
              <w:br/>
              <w:t>- Liposomal stack: C, D3/K2, Selenium, Thiamine, Curcumin+, Astaxanthin</w:t>
              <w:br/>
              <w:t>- Trace Minerals + Celtic Salt</w:t>
              <w:br/>
              <w:t>- Probiotics/Kefir</w:t>
              <w:br/>
              <w:t>- Hydration protocol</w:t>
              <w:br/>
              <w:t>- Morning peptides (see peptide section)</w:t>
            </w:r>
          </w:p>
        </w:tc>
      </w:tr>
      <w:tr>
        <w:tc>
          <w:tcPr>
            <w:tcW w:type="dxa" w:w="4320"/>
          </w:tcPr>
          <w:p>
            <w:r>
              <w:t>Midday</w:t>
            </w:r>
          </w:p>
        </w:tc>
        <w:tc>
          <w:tcPr>
            <w:tcW w:type="dxa" w:w="4320"/>
          </w:tcPr>
          <w:p>
            <w:r>
              <w:t>- CandidaDiet.com meal</w:t>
              <w:br/>
              <w:t>- Zeolite Clinoptolite</w:t>
              <w:br/>
              <w:t>- GutFeeling, TB‑Frag Max, Pineal Pep (Weeks 7–12)</w:t>
              <w:br/>
              <w:t>- Nebulization (3× weekly)</w:t>
              <w:br/>
              <w:t>- Hydration with minerals</w:t>
            </w:r>
          </w:p>
        </w:tc>
      </w:tr>
      <w:tr>
        <w:tc>
          <w:tcPr>
            <w:tcW w:type="dxa" w:w="4320"/>
          </w:tcPr>
          <w:p>
            <w:r>
              <w:t>Evening</w:t>
            </w:r>
          </w:p>
        </w:tc>
        <w:tc>
          <w:tcPr>
            <w:tcW w:type="dxa" w:w="4320"/>
          </w:tcPr>
          <w:p>
            <w:r>
              <w:t>- Pineal PCC</w:t>
              <w:br/>
              <w:t>- Ozone pulling solution</w:t>
              <w:br/>
              <w:t>- Parasite/viral support when scheduled</w:t>
              <w:br/>
              <w:t>- Turkey Tail / Goldenseal</w:t>
            </w:r>
          </w:p>
        </w:tc>
      </w:tr>
      <w:tr>
        <w:tc>
          <w:tcPr>
            <w:tcW w:type="dxa" w:w="4320"/>
          </w:tcPr>
          <w:p>
            <w:r>
              <w:t>Bedtime</w:t>
            </w:r>
          </w:p>
        </w:tc>
        <w:tc>
          <w:tcPr>
            <w:tcW w:type="dxa" w:w="4320"/>
          </w:tcPr>
          <w:p>
            <w:r>
              <w:t>- ECS → EDTA → Probiotic suppository rotation</w:t>
              <w:br/>
              <w:t>- Breathwork / relaxation</w:t>
              <w:br/>
              <w:t>- Sleep stack (as needed)</w:t>
            </w:r>
          </w:p>
        </w:tc>
      </w:tr>
    </w:tbl>
    <w:p>
      <w:pPr>
        <w:pStyle w:val="Heading2"/>
      </w:pPr>
      <w:r>
        <w:t>Injectable Peptide Protocol</w:t>
      </w:r>
    </w:p>
    <w:p>
      <w:pPr>
        <w:pStyle w:val="Heading3"/>
      </w:pPr>
      <w:r>
        <w:t>Thymogen</w:t>
      </w:r>
    </w:p>
    <w:p>
      <w:r>
        <w:t>20mg vial, recon 2mL. Dose: 20 units M/W/F × 4 weeks.</w:t>
      </w:r>
    </w:p>
    <w:p>
      <w:pPr>
        <w:pStyle w:val="Heading3"/>
      </w:pPr>
      <w:r>
        <w:t>LL‑37</w:t>
      </w:r>
    </w:p>
    <w:p>
      <w:r>
        <w:t>5mg vial, recon 1mL. Dose: 4–8 units daily × 6 weeks.</w:t>
      </w:r>
    </w:p>
    <w:p>
      <w:pPr>
        <w:pStyle w:val="Heading3"/>
      </w:pPr>
      <w:r>
        <w:t>Retatrutide</w:t>
      </w:r>
    </w:p>
    <w:p>
      <w:r>
        <w:t>20mg vial, recon 2mL. Dose: 2.5mg weekly × 8 weeks.</w:t>
      </w:r>
    </w:p>
    <w:p>
      <w:pPr>
        <w:pStyle w:val="Heading3"/>
      </w:pPr>
      <w:r>
        <w:t>PNC‑27</w:t>
      </w:r>
    </w:p>
    <w:p>
      <w:r>
        <w:t>10mg vial, recon 1mL. Dose: 2mg (20 units) daily × 6 weeks.</w:t>
      </w:r>
    </w:p>
    <w:p>
      <w:pPr>
        <w:pStyle w:val="Heading3"/>
      </w:pPr>
      <w:r>
        <w:t>Gonadorelin</w:t>
      </w:r>
    </w:p>
    <w:p>
      <w:r>
        <w:t>2mg vial, recon 1mL. Dose: 20 units M/W/F × 8 weeks.</w:t>
      </w:r>
    </w:p>
    <w:p>
      <w:pPr>
        <w:pStyle w:val="Heading3"/>
      </w:pPr>
      <w:r>
        <w:t>Epithalon + Pinealon</w:t>
      </w:r>
    </w:p>
    <w:p>
      <w:r>
        <w:t>45mg vial recon 2mL. Dose: 10–20 units daily × 30 days (4 vials).</w:t>
      </w:r>
    </w:p>
    <w:p>
      <w:pPr>
        <w:pStyle w:val="Heading3"/>
      </w:pPr>
      <w:r>
        <w:t>FOXO4‑DRI</w:t>
      </w:r>
    </w:p>
    <w:p>
      <w:r>
        <w:t>10mg vial recon 2mL. Dose: 5mg weekly × 4 weeks.</w:t>
      </w:r>
    </w:p>
    <w:p>
      <w:pPr>
        <w:pStyle w:val="Heading3"/>
      </w:pPr>
      <w:r>
        <w:t>KGlow‑25</w:t>
      </w:r>
    </w:p>
    <w:p>
      <w:r>
        <w:t>25mg vial recon 2mL. Dose: 10–20 units M/W/F × 90 days.</w:t>
      </w:r>
    </w:p>
    <w:p>
      <w:pPr>
        <w:pStyle w:val="Heading2"/>
      </w:pPr>
      <w:r>
        <w:t>PCC Bioregulator Schedule</w:t>
      </w:r>
    </w:p>
    <w:p>
      <w:r>
        <w:t>Morning:</w:t>
      </w:r>
    </w:p>
    <w:p>
      <w:r>
        <w:t>- Thymus PCC</w:t>
      </w:r>
    </w:p>
    <w:p>
      <w:r>
        <w:t>- Testis PCC</w:t>
      </w:r>
    </w:p>
    <w:p>
      <w:r>
        <w:t>- Prostate PCC (AM dose)</w:t>
      </w:r>
    </w:p>
    <w:p>
      <w:r>
        <w:t>- Liver PCC</w:t>
      </w:r>
    </w:p>
    <w:p>
      <w:r>
        <w:t>Evening:</w:t>
      </w:r>
    </w:p>
    <w:p>
      <w:r>
        <w:t>- Prostate PCC (PM dose)</w:t>
      </w:r>
    </w:p>
    <w:p>
      <w:r>
        <w:t>- Pineal PCC</w:t>
      </w:r>
    </w:p>
    <w:p>
      <w:pPr>
        <w:pStyle w:val="Heading2"/>
      </w:pPr>
      <w:r>
        <w:t>Oral Peptide Phase (Weeks 7–12)</w:t>
      </w:r>
    </w:p>
    <w:p>
      <w:r>
        <w:t>- Thymogen Alpha‑1</w:t>
      </w:r>
    </w:p>
    <w:p>
      <w:r>
        <w:t>- TB‑Frag Max</w:t>
      </w:r>
    </w:p>
    <w:p>
      <w:r>
        <w:t>- GutFeeling</w:t>
      </w:r>
    </w:p>
    <w:p>
      <w:r>
        <w:t>- Pineal Pep</w:t>
      </w:r>
    </w:p>
    <w:p>
      <w:r>
        <w:t>- 5‑Amino‑1MQ</w:t>
      </w:r>
    </w:p>
    <w:p>
      <w:r>
        <w:t>- Dihexa</w:t>
      </w:r>
    </w:p>
    <w:p>
      <w:pPr>
        <w:pStyle w:val="Heading2"/>
      </w:pPr>
      <w:r>
        <w:t>Supplementation – Full List</w:t>
      </w:r>
    </w:p>
    <w:p>
      <w:r>
        <w:t>Nascent Iodine, Liquid Multivitamin, Mighty Blue, Elixir, Reds/Greens, Liposomal C/D3‑K2/Curcumin+/Selenium/Thiamine/Astaxanthin,</w:t>
      </w:r>
    </w:p>
    <w:p>
      <w:r>
        <w:t>Trace Minerals, Probiotics/Kefir, Bentonite Clay, Zeolite Clinoptolite, B17, Turkey Tail, Goldenseal, C60 Oil, Flaxseed Oil.</w:t>
      </w:r>
    </w:p>
    <w:p>
      <w:pPr>
        <w:pStyle w:val="Heading2"/>
      </w:pPr>
      <w:r>
        <w:t>Detoxification &amp; Pathogen Support</w:t>
      </w:r>
    </w:p>
    <w:p>
      <w:r>
        <w:t xml:space="preserve">Fenbendazole, Ivermectin, Nitazoxanide, Blushwood Berry, Nebulization, Ozone pulling, </w:t>
      </w:r>
    </w:p>
    <w:p>
      <w:r>
        <w:t>Baking soda baths, Clay detox, IV Vitamin C, IV DMSO, IV Peroxide, Ozonated Glycerin.</w:t>
      </w:r>
    </w:p>
    <w:p>
      <w:pPr>
        <w:pStyle w:val="Heading2"/>
      </w:pPr>
      <w:r>
        <w:t>MitoStac™ – Mitochondrial Activation</w:t>
      </w:r>
    </w:p>
    <w:p>
      <w:r>
        <w:t xml:space="preserve">Supports NAD+, SIRT1/3/6, ATP generation, AMPK activation, antioxidant defense, mitochondrial turnover. </w:t>
      </w:r>
    </w:p>
    <w:p>
      <w:r>
        <w:t>Replaces NMN, NR, TMG, PQQ, CoQ10, ALA, ALCAR, and more.</w:t>
      </w:r>
    </w:p>
    <w:p>
      <w:pPr>
        <w:pStyle w:val="Heading2"/>
      </w:pPr>
      <w:r>
        <w:t>Hyperbaric Oxygen Therapy (HBOT)</w:t>
      </w:r>
    </w:p>
    <w:p>
      <w:r>
        <w:t>2.0 ATA × 60 minutes, 3× weekly × 90 days. Enhances mitochondrial repair and immune synergy.</w:t>
      </w:r>
    </w:p>
    <w:p>
      <w:pPr>
        <w:pStyle w:val="Heading2"/>
      </w:pPr>
      <w:r>
        <w:t>Synergy Summary</w:t>
      </w:r>
    </w:p>
    <w:p>
      <w:r>
        <w:t xml:space="preserve">This protocol layers mitochondrial repair (MitoStac™), immune recalibration (Thymogen, LL‑37), </w:t>
      </w:r>
    </w:p>
    <w:p>
      <w:r>
        <w:t xml:space="preserve">senolytic clearing (FOXO4‑DRI), cellular repair (Epithalon/Pinealon), metabolic improvement (Retatrutide), </w:t>
      </w:r>
    </w:p>
    <w:p>
      <w:r>
        <w:t>hormonal optimization (Gonadorelin + PCC), detox chemistry, and oxygen‑driven healing (HBOT).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