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 SemiBold" w:cs="EB Garamond SemiBold" w:eastAsia="EB Garamond SemiBold" w:hAnsi="EB Garamond SemiBold"/>
          <w:sz w:val="26"/>
          <w:szCs w:val="26"/>
          <w:u w:val="singl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u w:val="single"/>
          <w:rtl w:val="0"/>
        </w:rPr>
        <w:t xml:space="preserve">FF Custom Peptide Therapy and Daily Schedule</w:t>
      </w:r>
    </w:p>
    <w:p w:rsidR="00000000" w:rsidDel="00000000" w:rsidP="00000000" w:rsidRDefault="00000000" w:rsidRPr="00000000" w14:paraId="00000002">
      <w:pPr>
        <w:jc w:val="center"/>
        <w:rPr>
          <w:rFonts w:ascii="EB Garamond SemiBold" w:cs="EB Garamond SemiBold" w:eastAsia="EB Garamond SemiBold" w:hAnsi="EB Garamond SemiBold"/>
          <w:sz w:val="26"/>
          <w:szCs w:val="26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sz w:val="26"/>
          <w:szCs w:val="26"/>
          <w:rtl w:val="0"/>
        </w:rPr>
        <w:t xml:space="preserve">Steve Baker</w:t>
      </w:r>
    </w:p>
    <w:p w:rsidR="00000000" w:rsidDel="00000000" w:rsidP="00000000" w:rsidRDefault="00000000" w:rsidRPr="00000000" w14:paraId="00000003">
      <w:pPr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protocol has been specially designed for Steve Baker.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selected peptides—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THYMOGEN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(Injectable),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LL-37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RETATRUTIDE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PNC-27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GONADORELIN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EPITHALON + PINEALON BLEND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FOXO4-DRI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KGlow-25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—are combined to provide a multi-faceted approach supporting immune balance, tissue repair, metabolic health, and systemic regeneration.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is a detailed protocol with mechanisms of action, dosing, duration, and rationale for each peptide.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Synergistic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combination of these peptides provides a comprehensive approach, working across several core physiological 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Immune and Cellular Support: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THYMOGEN, LL-37, and PNC-27 work together to support immune balance, healthy cellular turnover, and innate immune defenses.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Cellular Cleanup and Repair: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FOXO4-DRI promotes the clearance of senescent cells, while the EPITHALON + PINEALON BLEND supports cellular repair, brain function, and circadian rhythm.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Metabolic and Endocrine Health: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RETATRUTIDE supports metabolic health and body composition, and GONADORELIN supports healthy hormone axis signaling.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Tissue Regeneration: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LL-37 and KGlow-25 (a blend including KPV, BPC, Cu-GHK, and TB4) support tissue resilience, reduce inflammation, and encourage overall regeneration and repair.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</w:rPr>
      </w:pPr>
      <w:bookmarkStart w:colFirst="0" w:colLast="0" w:name="_ukv650sb5tm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</w:rPr>
      </w:pPr>
      <w:bookmarkStart w:colFirst="0" w:colLast="0" w:name="_52rar1ifyz3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</w:rPr>
      </w:pPr>
      <w:bookmarkStart w:colFirst="0" w:colLast="0" w:name="_q8dhqcdtrc4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</w:rPr>
      </w:pPr>
      <w:bookmarkStart w:colFirst="0" w:colLast="0" w:name="_51jsv7gy5jw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</w:rPr>
      </w:pPr>
      <w:bookmarkStart w:colFirst="0" w:colLast="0" w:name="_9h7rb76uvi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</w:rPr>
      </w:pPr>
      <w:bookmarkStart w:colFirst="0" w:colLast="0" w:name="_s7p9xzk3goa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</w:rPr>
      </w:pPr>
      <w:bookmarkStart w:colFirst="0" w:colLast="0" w:name="_2rzj5ssruylf" w:id="6"/>
      <w:bookmarkEnd w:id="6"/>
      <w:r w:rsidDel="00000000" w:rsidR="00000000" w:rsidRPr="00000000"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  <w:rtl w:val="0"/>
        </w:rPr>
        <w:t xml:space="preserve">Monitoring and Follow-Up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40" w:lineRule="auto"/>
        <w:ind w:left="720" w:hanging="360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b w:val="1"/>
          <w:bCs w:val="1"/>
          <w:rtl w:val="0"/>
        </w:rPr>
        <w:t xml:space="preserve">Tumor Markers:</w:t>
      </w:r>
      <w:r w:rsidDel="00000000" w:rsidR="00000000" w:rsidRPr="00000000">
        <w:rPr>
          <w:rFonts w:ascii="EB Garamond SemiBold" w:cs="EB Garamond SemiBold" w:eastAsia="EB Garamond SemiBold" w:hAnsi="EB Garamond SemiBold"/>
          <w:rtl w:val="0"/>
        </w:rPr>
        <w:t xml:space="preserve"> Regular monitoring of tumor markers (e.g., CEA) to assess treatment efficacy.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b w:val="1"/>
          <w:bCs w:val="1"/>
          <w:rtl w:val="0"/>
        </w:rPr>
        <w:t xml:space="preserve">Imaging Studies:</w:t>
      </w:r>
      <w:r w:rsidDel="00000000" w:rsidR="00000000" w:rsidRPr="00000000">
        <w:rPr>
          <w:rFonts w:ascii="EB Garamond SemiBold" w:cs="EB Garamond SemiBold" w:eastAsia="EB Garamond SemiBold" w:hAnsi="EB Garamond SemiBold"/>
          <w:rtl w:val="0"/>
        </w:rPr>
        <w:t xml:space="preserve"> Periodic imaging (e.g., CT, PET scans) to evaluate.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b w:val="1"/>
          <w:bCs w:val="1"/>
          <w:rtl w:val="0"/>
        </w:rPr>
        <w:t xml:space="preserve">Immune Function:</w:t>
      </w:r>
      <w:r w:rsidDel="00000000" w:rsidR="00000000" w:rsidRPr="00000000">
        <w:rPr>
          <w:rFonts w:ascii="EB Garamond SemiBold" w:cs="EB Garamond SemiBold" w:eastAsia="EB Garamond SemiBold" w:hAnsi="EB Garamond SemiBold"/>
          <w:rtl w:val="0"/>
        </w:rPr>
        <w:t xml:space="preserve"> Assess T-cell and NK cell activity to monitor immune response.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lineRule="auto"/>
        <w:ind w:left="720" w:hanging="360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b w:val="1"/>
          <w:bCs w:val="1"/>
          <w:rtl w:val="0"/>
        </w:rPr>
        <w:t xml:space="preserve">Side Effects:</w:t>
      </w:r>
      <w:r w:rsidDel="00000000" w:rsidR="00000000" w:rsidRPr="00000000">
        <w:rPr>
          <w:rFonts w:ascii="EB Garamond SemiBold" w:cs="EB Garamond SemiBold" w:eastAsia="EB Garamond SemiBold" w:hAnsi="EB Garamond SemiBold"/>
          <w:rtl w:val="0"/>
        </w:rPr>
        <w:t xml:space="preserve"> Monitor for injection site reactions, flu-like symptoms, or other adverse effects.</w:t>
      </w:r>
    </w:p>
    <w:p w:rsidR="00000000" w:rsidDel="00000000" w:rsidP="00000000" w:rsidRDefault="00000000" w:rsidRPr="00000000" w14:paraId="0000001A">
      <w:pPr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</w:rPr>
      </w:pPr>
      <w:bookmarkStart w:colFirst="0" w:colLast="0" w:name="_2ju732ry21y9" w:id="7"/>
      <w:bookmarkEnd w:id="7"/>
      <w:r w:rsidDel="00000000" w:rsidR="00000000" w:rsidRPr="00000000">
        <w:rPr>
          <w:rFonts w:ascii="EB Garamond SemiBold" w:cs="EB Garamond SemiBold" w:eastAsia="EB Garamond SemiBold" w:hAnsi="EB Garamond SemiBold"/>
          <w:b w:val="1"/>
          <w:bCs w:val="1"/>
          <w:color w:val="000000"/>
          <w:sz w:val="26"/>
          <w:szCs w:val="26"/>
          <w:rtl w:val="0"/>
        </w:rPr>
        <w:t xml:space="preserve">Safety and Contraindications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40" w:lineRule="auto"/>
        <w:ind w:left="720" w:hanging="360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b w:val="1"/>
          <w:bCs w:val="1"/>
          <w:rtl w:val="0"/>
        </w:rPr>
        <w:t xml:space="preserve">Peptides</w:t>
      </w:r>
      <w:r w:rsidDel="00000000" w:rsidR="00000000" w:rsidRPr="00000000">
        <w:rPr>
          <w:rFonts w:ascii="EB Garamond SemiBold" w:cs="EB Garamond SemiBold" w:eastAsia="EB Garamond SemiBold" w:hAnsi="EB Garamond SemiBold"/>
          <w:rtl w:val="0"/>
        </w:rPr>
        <w:t xml:space="preserve"> are generally well-tolerated, but mild injection site reactions or flu-like symptoms may occur.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lineRule="auto"/>
        <w:ind w:left="720" w:hanging="360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rtl w:val="0"/>
        </w:rPr>
        <w:t xml:space="preserve">Regular monitoring and individualized adjustments are essential to optimize outcomes and ensure patient safety.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 SemiBold" w:cs="EB Garamond SemiBold" w:eastAsia="EB Garamond SemiBold" w:hAnsi="EB Garamond SemiBol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EB Garamond SemiBold" w:cs="EB Garamond SemiBold" w:eastAsia="EB Garamond SemiBold" w:hAnsi="EB Garamond SemiBol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 Baker Peptide Custom Protocol: Daily Use Chart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Peptide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Dosage &amp;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 (Rationale)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THYMOGEN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Reconstitute 20 mg vial with 2 mL bacteriostatic water (10 mg/mL). Administer 20 units (2 mg) subcutaneously.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Monday/Wednesday/Friday for 4 weeks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Supports balanced immune activity and healthy communication within thymus-related pathways.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LL-37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Reconstitute 5 mg vial with 1 mL bacteriostatic water (5 mg/mL). Administer 4-8 units daily (200-400 mcg) subcutaneously.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Daily for 6 weeks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Supports immune balance, barrier health, and tissue resilience.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RETATRUTIDE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Reconstitute 20 mg vial with 2 mL bacteriostatic water (10 mg/mL). Administer 25 units (2.5 mg) subcutaneously.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Once weekly for 8 weeks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Supports metabolic health, body composition, and inflammation modulation.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PNC-27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Reconstitute 10 mg vial with 1 mL bacteriostatic water (10 mg/mL). Administer 20 units (2 mg) subcutaneously.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Daily for 6 weeks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Supports healthy cellular turnover and surveillance.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GONADORELIN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Reconstitute 2 mg vial with 1 mL bacteriostatic water (2 mg/mL). Administer 20 units (0.4 mg) subcutaneously.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Monday/Wednesday/Friday for 8 weeks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Supports healthy hypothalamic-pituitary-gonadal (HPG) axis signaling.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EPITHALON + PINEALON BLEND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Reconstitute 45 mg vial (30 mg Epithalon + 15 mg Pinealon) with 2 mL bacteriostatic water (22.5 mg/mL). Administer 10-20 units daily.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Daily for 30 days (≈4 vials total)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Supports cellular repair, brain function, and circadian rhythm.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FOXO4-DRI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Reconstitute 10 mg vial with 2 mL bacteriostatic water (5 mg/mL). Administer 100 units (5 mg) subcutaneously.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Once weekly for 4 weeks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Supports clearance of older, stressed cells and promotes healthier cellular environment.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KGlow-25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Reconstitute 25 mg vial with 2 mL bacteriostatic water (12.5 mg/mL). Administer 10-20 units subcutaneously.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Monday/Wednesday/Friday for full 90 days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Supports tissue repair, collagen, skin quality, joints, and overall regeneration.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Considerations: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Reconstitution: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Always use bacteriostatic water as specified for each peptide.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Subcutaneous or intravenous administration as indicated.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Regular monitoring of tumor markers, imaging studies, and immune function is essential.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 Effects: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Monitor for injection site reactions, flu-like symptoms, or other adverse effects.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 Healthcare Provider: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Always consult with a qualified healthcare provider to tailor the protocol to specific needs and clinical conditions.</w:t>
      </w:r>
    </w:p>
    <w:p w:rsidR="00000000" w:rsidDel="00000000" w:rsidP="00000000" w:rsidRDefault="00000000" w:rsidRPr="00000000" w14:paraId="00000058">
      <w:pPr>
        <w:rPr>
          <w:rFonts w:ascii="EB Garamond SemiBold" w:cs="EB Garamond SemiBold" w:eastAsia="EB Garamond SemiBold" w:hAnsi="EB Garamo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THYMOGEN (Injectable)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Thymogen is included to support balanced immune activity and healthy communication within thymus-related pathways.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Mechanism – simple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Helps support appropriate immune responses and recovery without over-stimulating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Reconstitution &amp;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Vial: 20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Reconstitution: add 2 mL bacteriostatic water → 10 mg/mL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1 mL = 100 units → 0.1 mg per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Dosage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Dose: 20 units (2 mg) per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Frequency: Monday / Wednesday / 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Duration: 4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Inject subcutaneously into abdomen, thigh, or flank. Rotate injection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LL-37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LL-37 is a naturally occurring human peptide used here to support immune balance, barrier health, and tissue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Mechanism – simple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Helps support healthy innate immune defenses and tissue repair.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Reconstitution &amp;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Vial: 5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Reconstitution: add 1 mL bacteriostatic water → 5 mg/mL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1 mL = 100 units → 0.05 mg (50 mcg) per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Dosage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Dose: 4–8 units daily (≈ 200–400 mcg)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Frequency: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Duration: 6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Inject subcutaneously once per day. Adjust within the 4–8 unit window based on tolerance and clinical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RETATRUTIDE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Retatrutide is used to support metabolic health, body composition, and inflammation modulation.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Mechanism – simple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Acts along metabolic hormone pathways to support better energy handling and satiety, in combination with diet and MitoStac™.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Reconstitution &amp;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Vial: 20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Reconstitution: add 2 mL bacteriostatic water → 10 mg/mL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1 mL = 100 units → 0.1 mg per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Dosage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Target dose: 2.5 mg 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Units: 2.5 mg ÷ 0.1 mg per unit = 25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Frequency: Once 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Duration: 8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Inject subcutaneously on the same day each week. Monitor response, appetite, and weight along with metabolic markers.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PNC-27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PNC-27 is a targeted peptide used as part of comprehensive cellular support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Mechanism – simple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Designed to interact with certain cell membrane patterns and support healthy cellular turnover and surveillance.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Reconstitution &amp;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Vial: 10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Reconstitution: add 1 mL bacteriostatic water → 10 mg/mL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1 mL = 100 units → 0.1 mg per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Dosage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Dose: 2 mg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Units: 2 mg ÷ 0.1 mg per unit = 20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Frequency: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Duration: 6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Inject subcutaneously, rotating sites. Typically layered in with Thymogen and LL-37 during core immune support phases.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GONADORELIN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Gonadorelin is used to support healthy hypothalamic–pituitary–gonadal (HPG) axis signaling.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Mechanism – simple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Sends pulses to the hormone axis that, under guidance, are used to support more youthful hormone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Reconstitution &amp;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Vial: 2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Reconstitution: add 1 mL bacteriostatic water → 2 mg/mL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1 mL = 100 units → 0.02 mg (20 mcg) per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Dosage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Dose: 20 units (0.4 mg)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Frequency: Monday / Wednesday / 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Duration: 8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Often given in the morning. Synergistic with Testis PCC and overall endocrine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EPITHALON + PINEALON 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This blend combines Epithalon and Pinealon to support cellular repair, brain function, and circadian rhythm.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Mechanism – simple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Epithalon is used in longevity-style protocols, while Pinealon supports brain and nervous system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Reconstitution &amp;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Vial: 45 mg total (30 mg Epithalon + 15 mg Pinealon)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Reconstitution: add 2 mL bacteriostatic water → 22.5 mg/mL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1 mL = 100 units → 0.225 mg per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Dosage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Dose: 10–20 units daily (low to moderate 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Duration: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Total cycle: ≈ 4 vials to reach an effective ≈100 mg Epithalon equivalent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Often injected in the evening to align with sleep and Pineal PCC. Used as a dedicated 30-day 'reset' cycle inside the 90-day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FOXO4-DRI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FOXO4-DRI is used in short pulses to support clearance of older, stressed cells and promote a healthier cellular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Mechanism – simple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Used in senolytic-style protocols that aim to reduce the burden of dysfunctional cells so healthier cells can thrive.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Reconstitution &amp;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Vial: 10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Reconstitution: add 2 mL bacteriostatic water → 5 mg/mL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1 mL = 100 units → 0.05 mg per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Dosage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Dose: 5 mg 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Units: 5 mg ÷ 0.05 mg per unit = 100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Frequency: Once 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Duration: 4 weeks (one short senolytic 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Typically timed after initial peptide and detox layers are underway. Coordinate with MitoStac™, antioxidants, and rest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KGlow-25 (KPV / BPC / Cu-GHK / TB4 Blend)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KGlow-25 is a multi-peptide blend formulated to support tissue repair, collagen, skin quality, joints, and overall regeneration.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Mechanism – simple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ingredients in KGlow-25 are associated with soothing local irritation, supporting tissue healing, and encouraging collagen and matrix repair.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Reconstitution &amp; Concentration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Vial: 25 mg total peptides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Reconstitution: add 2 mL bacteriostatic water → 12.5 mg/mL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2"/>
          <w:szCs w:val="22"/>
          <w:rtl w:val="0"/>
        </w:rPr>
        <w:t xml:space="preserve">• 1 mL = 100 units → 0.125 mg per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Dosage &amp;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Dose: 10–20 units per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Frequency: Monday / Wednesday / 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Duration: Full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Acts as a continuous regenerative signal throughout the protocol. Pairs well with HBOT and other regenerative modalities.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DAILY SCHEDULE –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MitoStac™ – 1 stick in water or smoothie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Reds + Greens + Elixir + Bio-Vitamin (liquid multi)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Mighty Blue (methylene blue)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Nascent Iodine (start 3 drops, work up to 7 as tolerated) Take first before anything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Liposomal stack: Vitamin C, D3/K2, Selenium, Thiamine (B1), Curcumin+, Astaxanthin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Trace mineral support + pinch of Celtic 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Kefir / probiotic beverage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Hydration: first 1–2 glasses of water (optionally with lemon and a pinch of bentonite clay)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Morning peptide injections as scheduled (see peptide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Meal following CandidaDiet.com–style guidelines (low sugar, low yeast, high nutrient density)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Zeolite Clinoptolite (binder)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Oral peptides (Phase II, weeks 7–12): GutFeeling, TB-Frag Max, Pineal Pep, 5-Amino-1MQ, Dihexa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Nebulization 3× per week: 5 mL saline + small amount of 3% hydrogen peroxide + 1–2 drops iodine (as tolerated)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Continue hydration with minerals throughout the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Pineal PCC (evening dose)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Ozone pulling solution / oral rinse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Parasite / viral layer when scheduled: Fenbendazole, Ivermectin, Nitazoxanide, B17 / Amygdalin, Blushwood,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Turkey Tail and Goldenseal or equivalent immune botanicals (if on protocol)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No cold beverages with dinner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Bedtime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• Suppository rotation (cycle): ECS suppository → EDTA suppository → Probiotic suppository → repeat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Breathwork, relaxation, prayer / meditation, or guided sleep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Sleep support supplements as needed per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PCC BIOREGULATOR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following bioregulators run for the entire 90-day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Thymus PCC – 1 capsule morning, for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Testis PCC – 1 capsule morning, for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Prostate PCC – 1 capsule morning + 1 capsule evening, for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Liver PCC – 1 capsule morning (or with first meal), for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Pineal PCC – 1 capsule evening, 30–60 minutes before bed, for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ORAL PEPTIDE PHASE – WEEKS 7–12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After the main injection phase is established, the following oral peptides are introduced: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Thymogen Alpha-1 (oral)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TB-Frag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GutFeeling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Pineal Pep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5-Amino-1MQ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Dihexa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MITOSTAC™ – MITOCHONDRIAL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 in the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Central mitochondrial and sirtuin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Helps consolidate what would otherwise be many separate products (NMN/NR/TMG/CoQ10/PQQ,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Supports NAD+, ATP production, and mitochondrial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Synergistic with FOXO4-DRI, Epithalon, Retatrutide, and the overall detox / peptide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1 stick per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Mixed in water or the morning smoothie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DETOX &amp; PATHOGEN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Parasite/viral tools (as scheduled):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Fenbendazole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Ivermectin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B17 / Amygdalin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Binders &amp; detox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Bentonite clay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Zeolite Clinoptolite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Baking soda + mineral baths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Ozone or peroxide oral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Liver support (liposomal detox blends,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IV therapies per 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High-dose Vitamin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DMSO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Hydrogen peroxide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Ozonated glycerin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HYPERBARIC OXYGEN THERAPY (HBOT)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Pressure: around 2.0 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Session length: about 60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• Frequency: about 3× per week across the 90-day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HBOT is placed in the protocol as an ongoing regenerative and oxygenation modality that synergizes with peptides, MitoStac™, detox, and nervous system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SYNERGY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protocol is structured as layers that work together rather than single, isolated products.</w:t>
        <w:br w:type="textWrapping"/>
        <w:br w:type="textWrapping"/>
        <w:t xml:space="preserve">MitoStac™ and the foundational supplements support the energy and nutrient environment.</w:t>
        <w:br w:type="textWrapping"/>
        <w:br w:type="textWrapping"/>
        <w:t xml:space="preserve">Peptides such as Thymogen, LL-37, PNC-27, Retatrutide, Epithalon/Pinealon, FOXO4-DRI, and KGlow-25 act as targeted signals for immune balance, tissue repair, cellular cleanup, and metabolic support.</w:t>
        <w:br w:type="textWrapping"/>
        <w:br w:type="textWrapping"/>
        <w:t xml:space="preserve">PCC bioregulators reinforce organ-level communication in the thymus, liver, testis, prostate, and pineal gland.</w:t>
        <w:br w:type="textWrapping"/>
        <w:br w:type="textWrapping"/>
        <w:t xml:space="preserve">Detox methods, binders, and pathogen support protocols reduce the body's overall burden, while HBOT and nervous system practices add an oxygen and recovery component.</w:t>
        <w:br w:type="textWrapping"/>
        <w:br w:type="textWrapping"/>
        <w:t xml:space="preserve">Together, this creates a focused 90-day window of support for Steve's system, followed by reassessment and adjustment.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36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rial Unicode MS"/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rPr/>
    </w:pPr>
    <w:r w:rsidDel="00000000" w:rsidR="00000000" w:rsidRPr="00000000">
      <w:rPr>
        <w:rFonts w:ascii="EB Garamond SemiBold" w:cs="EB Garamond SemiBold" w:eastAsia="EB Garamond SemiBold" w:hAnsi="EB Garamond SemiBold"/>
      </w:rPr>
      <w:pict>
        <v:shape id="WordPictureWatermark1" style="position:absolute;width:382.32pt;height:382.3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