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200"/>
              <w:left w:type="dxa" w:w="300"/>
              <w:bottom w:type="dxa" w:w="200"/>
              <w:right w:type="dxa" w:w="300"/>
            </w:tcMar>
          </w:tcPr>
          <w:p>
            <w:pPr>
              <w:spacing w:after="60" w:before="60"/>
              <w:jc w:val="center"/>
            </w:pPr>
            <w:r>
              <w:rPr>
                <w:rFonts w:ascii="Arial" w:cs="Arial" w:eastAsia="Arial" w:hAnsi="Arial"/>
                <w:b/>
                <w:bCs/>
                <w:color w:val="F4B942"/>
                <w:sz w:val="36"/>
                <w:szCs w:val="36"/>
              </w:rPr>
              <w:t xml:space="preserve">AI FOR BUSINESS</w:t>
            </w:r>
          </w:p>
          <w:p>
            <w:pPr>
              <w:spacing w:after="100" w:before="80"/>
              <w:jc w:val="center"/>
            </w:pPr>
            <w:r>
              <w:rPr>
                <w:rFonts w:ascii="Arial" w:cs="Arial" w:eastAsia="Arial" w:hAnsi="Arial"/>
                <w:b/>
                <w:bCs/>
                <w:color w:val="FFFFFF"/>
                <w:sz w:val="30"/>
                <w:szCs w:val="30"/>
              </w:rPr>
              <w:t xml:space="preserve">Technology PMO</w:t>
            </w:r>
          </w:p>
          <w:p>
            <w:pPr>
              <w:spacing w:after="100" w:before="80"/>
              <w:jc w:val="center"/>
            </w:pPr>
            <w:r>
              <w:rPr>
                <w:rFonts w:ascii="Arial" w:cs="Arial" w:eastAsia="Arial" w:hAnsi="Arial"/>
                <w:b/>
                <w:bCs/>
                <w:color w:val="FFFFFF"/>
                <w:sz w:val="36"/>
                <w:szCs w:val="36"/>
              </w:rPr>
              <w:t xml:space="preserve">POST-SESSION PRACTICE SET</w:t>
            </w:r>
          </w:p>
          <w:p>
            <w:pPr>
              <w:spacing w:after="60" w:before="80"/>
              <w:jc w:val="center"/>
            </w:pPr>
            <w:r>
              <w:rPr>
                <w:rFonts w:ascii="Arial" w:cs="Arial" w:eastAsia="Arial" w:hAnsi="Arial"/>
                <w:color w:val="D6E4F7"/>
                <w:sz w:val="22"/>
                <w:szCs w:val="22"/>
              </w:rPr>
              <w:t xml:space="preserve">Self-Directed Exercises</w:t>
            </w:r>
          </w:p>
          <w:p>
            <w:pPr>
              <w:spacing w:after="80" w:before="80"/>
              <w:jc w:val="center"/>
            </w:pPr>
            <w:r>
              <w:rPr>
                <w:rFonts w:ascii="Arial" w:cs="Arial" w:eastAsia="Arial" w:hAnsi="Arial"/>
                <w:color w:val="D6E4F7"/>
                <w:sz w:val="20"/>
                <w:szCs w:val="20"/>
              </w:rPr>
              <w:t xml:space="preserve">Microsoft Copilot  |  3 Exercises  |  Complete independently at your desk</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
        <w:gridCol w:w="6860"/>
      </w:tblGrid>
      <w:tr>
        <w:tc>
          <w:tcPr>
            <w:tcW w:type="dxa" w:w="22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20"/>
                <w:szCs w:val="20"/>
              </w:rPr>
              <w:t xml:space="preserve">Name</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20"/>
                <w:szCs w:val="20"/>
              </w:rPr>
              <w:t xml:space="preserve"/>
            </w:r>
          </w:p>
        </w:tc>
        <w:tc>
          <w:tcPr>
            <w:tcW w:type="dxa" w:w="68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20"/>
                <w:szCs w:val="20"/>
              </w:rPr>
              <w:t xml:space="preserve">Date Completed</w:t>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HOW TO USE THIS PRACTICE SET</w:t>
            </w:r>
          </w:p>
          <w:p>
            <w:pPr>
              <w:spacing w:after="40" w:before="80"/>
              <w:jc w:val="left"/>
            </w:pPr>
            <w:r>
              <w:rPr>
                <w:rFonts w:ascii="Arial" w:cs="Arial" w:eastAsia="Arial" w:hAnsi="Arial"/>
                <w:color w:val="000000"/>
                <w:sz w:val="20"/>
                <w:szCs w:val="20"/>
              </w:rPr>
              <w:t xml:space="preserve">Complete each exercise independently — just you and Copilot. Build all prompts from scratch using the RTCFT formula without referring back to the session workbook.</w:t>
            </w:r>
          </w:p>
          <w:p>
            <w:pPr>
              <w:spacing w:after="40" w:before="80"/>
              <w:jc w:val="left"/>
            </w:pPr>
            <w:r>
              <w:rPr>
                <w:rFonts w:ascii="Arial" w:cs="Arial" w:eastAsia="Arial" w:hAnsi="Arial"/>
                <w:color w:val="000000"/>
                <w:sz w:val="20"/>
                <w:szCs w:val="20"/>
              </w:rPr>
              <w:t xml:space="preserve">When you finish each exercise, compare your prompts and outputs against the Answer Key before moving to the next one.</w:t>
            </w:r>
          </w:p>
          <w:p>
            <w:pPr>
              <w:spacing w:after="40" w:before="80"/>
              <w:jc w:val="left"/>
            </w:pPr>
            <w:r>
              <w:rPr>
                <w:rFonts w:ascii="Arial" w:cs="Arial" w:eastAsia="Arial" w:hAnsi="Arial"/>
                <w:color w:val="000000"/>
                <w:sz w:val="20"/>
                <w:szCs w:val="20"/>
              </w:rPr>
              <w:t xml:space="preserve">The hints in the RTCFT tables are lighter than the in-session exercises. That is intentional — the goal is independent prompt construction, not guided completion.</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Exercise</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Skill Practised</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Time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PS-1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FASTag Integration — Project Closure Report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Closure documentation + lessons learned + outcome synthesis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30 min</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PS-2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Q1 FY26 Tech Delivery — Capacity Planning Summary</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Resource analysis + capacity gap identification + planning summary</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30 min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PS-3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Payments Modernisation — Change Request Assessment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Scope change analysis + impact assessment + governance decision brief</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30 min</w:t>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2"/>
                <w:szCs w:val="22"/>
              </w:rPr>
              <w:t xml:space="preserve">POST-SESSION EXERCISE PS-1</w:t>
            </w:r>
          </w:p>
          <w:p>
            <w:pPr>
              <w:spacing w:after="60" w:before="80"/>
              <w:jc w:val="left"/>
            </w:pPr>
            <w:r>
              <w:rPr>
                <w:rFonts w:ascii="Arial" w:cs="Arial" w:eastAsia="Arial" w:hAnsi="Arial"/>
                <w:b/>
                <w:bCs/>
                <w:color w:val="FFFFFF"/>
                <w:sz w:val="26"/>
                <w:szCs w:val="26"/>
              </w:rPr>
              <w:t xml:space="preserve">FASTag Integration — Project Closure Report</w:t>
            </w:r>
          </w:p>
          <w:p>
            <w:pPr>
              <w:spacing w:after="60" w:before="80"/>
              <w:jc w:val="left"/>
            </w:pPr>
            <w:r>
              <w:rPr>
                <w:rFonts w:ascii="Arial" w:cs="Arial" w:eastAsia="Arial" w:hAnsi="Arial"/>
                <w:color w:val="D6E4F7"/>
                <w:sz w:val="20"/>
                <w:szCs w:val="20"/>
              </w:rPr>
              <w:t xml:space="preserve">30 minutes  │  Individual  │  Complete independently at your desk</w:t>
            </w:r>
          </w:p>
          <w:p>
            <w:pPr>
              <w:spacing w:after="80" w:before="80"/>
              <w:jc w:val="left"/>
            </w:pPr>
            <w:r>
              <w:rPr>
                <w:rFonts w:ascii="Arial" w:cs="Arial" w:eastAsia="Arial" w:hAnsi="Arial"/>
                <w:color w:val="D6E4F7"/>
                <w:sz w:val="18"/>
                <w:szCs w:val="18"/>
              </w:rPr>
              <w:t xml:space="preserve">Skill: Project closure documentation + lessons learned + outcome synthesis</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a PMO analyst at BFL. The FASTag Integration project has just been formally closed. This was a 5-month initiative to integrate FASTag-based automated toll deduction into BFL's Commercial Vehicle Loan EMI collection workflow — allowing BFL to deduct monthly EMI payments automatically at FASTag-enabled toll plazas for commercial vehicle borrowers.</w:t>
            </w:r>
          </w:p>
          <w:p>
            <w:pPr>
              <w:spacing w:after="40" w:before="80"/>
              <w:jc w:val="left"/>
            </w:pPr>
            <w:r>
              <w:rPr>
                <w:rFonts w:ascii="Arial" w:cs="Arial" w:eastAsia="Arial" w:hAnsi="Arial"/>
                <w:color w:val="000000"/>
                <w:sz w:val="20"/>
                <w:szCs w:val="20"/>
              </w:rPr>
              <w:t xml:space="preserve">The project delivered on time and within budget. Your PMO Head has asked you to produce the formal project closure report, including a lessons learned summary, before the project is archived.</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FASTag Integration: Project Close-Out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Raw Closure Notes — Paste into Copilot with your prompts</w:t>
            </w:r>
          </w:p>
          <w:p>
            <w:pPr>
              <w:spacing w:after="40" w:before="80"/>
              <w:jc w:val="left"/>
            </w:pPr>
            <w:r>
              <w:rPr>
                <w:rFonts w:ascii="Arial" w:cs="Arial" w:eastAsia="Arial" w:hAnsi="Arial"/>
                <w:color w:val="000000"/>
                <w:sz w:val="20"/>
                <w:szCs w:val="20"/>
              </w:rPr>
              <w:t xml:space="preserve">"Project: BFL FASTag EMI Integration. Delivered: 30 April 2025. Duration: 5 months (planned: 5 months). Budget: INR 3.2 Cr spent vs INR 3.5 Cr approved — 8.6% under budget.</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What we delivered: FASTag-based automatic EMI deduction is now live for 18,500 commercial vehicle loan accounts. Integration completed with NETC (National Electronic Toll Collection) system. Average EMI collection success rate via FASTag in first month: 91% (target was 85%). Zero critical defects in production during first 30 days post-launch.</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What went well: Early stakeholder alignment with the Collections team — they co-designed the failure-handling workflow (what happens if a vehicle's FASTag account has insufficient balance). Tech team delivered the NETC API integration 1 week ahead of schedule. Testing was thorough — 234 test scenarios executed.</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What didn't go well: The regulatory approval from NPCI (National Payments Corporation of India) took 6 weeks longer than planned — this was the biggest project risk throughout. We had no prior experience with NPCI timelines. Also: The legal team was engaged 3 weeks later than they should have been — the data processing agreement with NETC almost delayed go-live.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Lessons learned: (1) NPCI regulatory approval must be the first workstream for any payments-related project — start day 1, not month 2. (2) Legal must be onboarded in sprint 1 whenever a third-party DPA is involved. (3) Co-design with the operations team (Collections in this case) produced significantly better failure handling logic than a PMO-led spec would have.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Open items at close: 3 P3 enhancement requests logged for Phase 2. Monitoring dashboard handed over to the Collections Ops team. Documentation archived in SharePoint."</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Project Closure Report (20 min)</w:t>
      </w:r>
    </w:p>
    <w:p>
      <w:pPr>
        <w:spacing w:after="80" w:before="80"/>
        <w:jc w:val="left"/>
      </w:pPr>
      <w:r>
        <w:rPr>
          <w:rFonts w:ascii="Arial" w:cs="Arial" w:eastAsia="Arial" w:hAnsi="Arial"/>
          <w:color w:val="000000"/>
          <w:sz w:val="20"/>
          <w:szCs w:val="20"/>
        </w:rPr>
        <w:t xml:space="preserve">Build a prompt to produce a structured project closure report from the raw notes. The report will be archived and shared with the programme governance board.</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PMO context — who produces a project closure report for a banking technology programme?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Produce a formal project closure report for the BFL FASTag Integration project.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5-month project, delivered on time, 8.6% under budget. Delivered to 18,500 accounts. Key events: NPCI delay, legal onboarding gap, strong delivery outcome. Target audience: programme governance board for archiving.</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Sections: (1) Project Overview — 1 para; (2) Delivery Outcomes — table: Objective / Planned / Actual / Status; (3) Budget Summary — 2 lines; (4) What Went Well — 3 bullets; (5) Challenges and Risks Encountered — 3 bullets; (6) Lessons Learned — numbered, actionable; (7) Open Items and Handovers.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Formal and archival — this is a governance record, not a stakeholder update. Professional and factual.</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Project Closure Report</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Lessons Learned Summary (10 min)</w:t>
      </w:r>
    </w:p>
    <w:p>
      <w:pPr>
        <w:spacing w:after="80" w:before="80"/>
        <w:jc w:val="left"/>
      </w:pPr>
      <w:r>
        <w:rPr>
          <w:rFonts w:ascii="Arial" w:cs="Arial" w:eastAsia="Arial" w:hAnsi="Arial"/>
          <w:color w:val="000000"/>
          <w:sz w:val="20"/>
          <w:szCs w:val="20"/>
        </w:rPr>
        <w:t xml:space="preserve">Build a follow-up prompt to extract and expand the lessons learned into a standalone 1-page summary for the PMO knowledge base — formatted so future project managers can act on them directly.</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your role — always in follow-up prompts.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Extract and expand the lessons learned from the closure report above into a standalone 1-page summary for the PMO knowledge base.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Target audience: future project managers who will run similar payments-integration or regulatory-approval projects at BFL. Must be actionable, not reflective.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Table with columns: Lesson Number, Lesson Title (short), What Happened (1 sentence), What to Do Differently (1 sentence), Applicable To (project type or phase). 3–5 lessons.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Direct and action-oriented — each lesson must be written as a recommendation a PM can act on, not a reflection on what went wrong.</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Lessons Learned Summary</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2"/>
                <w:szCs w:val="22"/>
              </w:rPr>
              <w:t xml:space="preserve">POST-SESSION EXERCISE PS-2</w:t>
            </w:r>
          </w:p>
          <w:p>
            <w:pPr>
              <w:spacing w:after="60" w:before="80"/>
              <w:jc w:val="left"/>
            </w:pPr>
            <w:r>
              <w:rPr>
                <w:rFonts w:ascii="Arial" w:cs="Arial" w:eastAsia="Arial" w:hAnsi="Arial"/>
                <w:b/>
                <w:bCs/>
                <w:color w:val="FFFFFF"/>
                <w:sz w:val="26"/>
                <w:szCs w:val="26"/>
              </w:rPr>
              <w:t xml:space="preserve">Q1 FY26 Tech Delivery — Capacity Planning Summary</w:t>
            </w:r>
          </w:p>
          <w:p>
            <w:pPr>
              <w:spacing w:after="60" w:before="80"/>
              <w:jc w:val="left"/>
            </w:pPr>
            <w:r>
              <w:rPr>
                <w:rFonts w:ascii="Arial" w:cs="Arial" w:eastAsia="Arial" w:hAnsi="Arial"/>
                <w:color w:val="D6E4F7"/>
                <w:sz w:val="20"/>
                <w:szCs w:val="20"/>
              </w:rPr>
              <w:t xml:space="preserve">30 minutes  │  Individual  │  Complete independently at your desk</w:t>
            </w:r>
          </w:p>
          <w:p>
            <w:pPr>
              <w:spacing w:after="80" w:before="80"/>
              <w:jc w:val="left"/>
            </w:pPr>
            <w:r>
              <w:rPr>
                <w:rFonts w:ascii="Arial" w:cs="Arial" w:eastAsia="Arial" w:hAnsi="Arial"/>
                <w:color w:val="D6E4F7"/>
                <w:sz w:val="18"/>
                <w:szCs w:val="18"/>
              </w:rPr>
              <w:t xml:space="preserve">Skill: Resource analysis + capacity gap identification + planning summary</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a PMO analyst at BFL's Technology division. It is the first week of April 2025 (start of Q1 FY26). Your PMO Head needs a Q1 FY26 capacity planning summary — covering available team capacity across 4 technology squads and their allocation to ongoing and upcoming projects.</w:t>
            </w:r>
          </w:p>
          <w:p>
            <w:pPr>
              <w:spacing w:after="40" w:before="80"/>
              <w:jc w:val="left"/>
            </w:pPr>
            <w:r>
              <w:rPr>
                <w:rFonts w:ascii="Arial" w:cs="Arial" w:eastAsia="Arial" w:hAnsi="Arial"/>
                <w:color w:val="000000"/>
                <w:sz w:val="20"/>
                <w:szCs w:val="20"/>
              </w:rPr>
              <w:t xml:space="preserve">The input is a raw resource allocation note from each squad lead. Your output will go to the CTO as the baseline for Q1 delivery planning decisions.</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Q1 FY26 Capacity Planning: Raw Squad Lead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1 — Platform Engineering (Lead: Vikram S)</w:t>
            </w:r>
          </w:p>
          <w:p>
            <w:pPr>
              <w:spacing w:after="40" w:before="80"/>
              <w:jc w:val="left"/>
            </w:pPr>
            <w:r>
              <w:rPr>
                <w:rFonts w:ascii="Arial" w:cs="Arial" w:eastAsia="Arial" w:hAnsi="Arial"/>
                <w:color w:val="000000"/>
                <w:sz w:val="20"/>
                <w:szCs w:val="20"/>
              </w:rPr>
              <w:t xml:space="preserve">"We have 8 engineers on the team. 2 are fully dedicated to the Core Banking Migration (CBM) until August. 3 are on the Fintech Connect API Integration Hub project — Sprint 14 running now through Q1. 1 is on a security patch release (1 month). The remaining 2 are available for new project allocation from April 15. Note: Rajan is single-threaded on CBM migration scripts — cannot be moved."</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2 — Mobile and Web Engineering (Lead: Priya N)</w:t>
            </w:r>
          </w:p>
          <w:p>
            <w:pPr>
              <w:spacing w:after="40" w:before="80"/>
              <w:jc w:val="left"/>
            </w:pPr>
            <w:r>
              <w:rPr>
                <w:rFonts w:ascii="Arial" w:cs="Arial" w:eastAsia="Arial" w:hAnsi="Arial"/>
                <w:color w:val="000000"/>
                <w:sz w:val="20"/>
                <w:szCs w:val="20"/>
              </w:rPr>
              <w:t xml:space="preserve">"8 engineers. 6 are on the Mobile Banking Revamp — we expect this to run through Month 8 (roughly August). 1 engineer is supporting the Customer 360 Data Platform as an embedded resource. 1 engineer is available from Day 1 of Q1 for new work. We have 2 new joiners starting on May 1 — they will need 4 weeks ramp-up before they are productive. So effective new capacity is really only mid-June."</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3 — Data and Analytics (Lead: Asha K)</w:t>
            </w:r>
          </w:p>
          <w:p>
            <w:pPr>
              <w:spacing w:after="40" w:before="80"/>
              <w:jc w:val="left"/>
            </w:pPr>
            <w:r>
              <w:rPr>
                <w:rFonts w:ascii="Arial" w:cs="Arial" w:eastAsia="Arial" w:hAnsi="Arial"/>
                <w:color w:val="000000"/>
                <w:sz w:val="20"/>
                <w:szCs w:val="20"/>
              </w:rPr>
              <w:t xml:space="preserve">"6 engineers. 4 are on the Customer 360 Data Platform — Sprint 9 is current, Sprint 20 is the last one, so we're committed through Q3 FY26. 1 engineer is supporting ad hoc data requests from the Risk team — informal allocation, no project code. 1 engineer is available for new projects now but has a planned 3-week leave in June."</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4 — DevOps and Cloud Infrastructure (Lead: Suresh M)</w:t>
            </w:r>
          </w:p>
          <w:p>
            <w:pPr>
              <w:spacing w:after="40" w:before="80"/>
              <w:jc w:val="left"/>
            </w:pPr>
            <w:r>
              <w:rPr>
                <w:rFonts w:ascii="Arial" w:cs="Arial" w:eastAsia="Arial" w:hAnsi="Arial"/>
                <w:color w:val="000000"/>
                <w:sz w:val="20"/>
                <w:szCs w:val="20"/>
              </w:rPr>
              <w:t xml:space="preserve">"5 engineers. 2 are on CBM infrastructure and parallel run support — committed until March 2026. 2 are shared across all active projects for CI/CD and deployment support — they cannot be committed exclusively to any one new project. 1 senior DevOps engineer is available for new projects from Q1 start. He's our most experienced person for cloud-native migrations."</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Capacity Summary Table (20 min)</w:t>
      </w:r>
    </w:p>
    <w:p>
      <w:pPr>
        <w:spacing w:after="80" w:before="80"/>
        <w:jc w:val="left"/>
      </w:pPr>
      <w:r>
        <w:rPr>
          <w:rFonts w:ascii="Arial" w:cs="Arial" w:eastAsia="Arial" w:hAnsi="Arial"/>
          <w:color w:val="000000"/>
          <w:sz w:val="20"/>
          <w:szCs w:val="20"/>
        </w:rPr>
        <w:t xml:space="preserve">Build a prompt to produce a structured Q1 FY26 capacity planning summary from the four raw squad notes. The summary must show current allocation, available capacity, and key constraints.</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Technology PMO context — who produces a capacity planning summary for a CTO?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Analyse the four squad lead capacity notes and produce a structured Q1 FY26 capacity planning summary.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4 squads: Platform Engineering (8), Mobile &amp; Web (8), Data &amp; Analytics (6), DevOps (5) — 27 engineers total. Q1 FY26 = April–June 2025. Audience: CTO, for Q1 delivery planning decisions. Key constraints: CBM commitment, key person dependency (Rajan), 2 new joiners ramping up (May), informal data team allocation.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Table: Squad / Total Engineers / Currently Committed (with project names) / Available for New Work / Constraints and Notes. Then: a summary section showing total available FTEs across all squads for Q1.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Analytical and planning-ready — this is a decision-support document for the CTO. Precise numbers, named projects, named constraints.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Q1 Capacity Summary</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Capacity Gap Identification (10 min)</w:t>
      </w:r>
    </w:p>
    <w:p>
      <w:pPr>
        <w:spacing w:after="80" w:before="80"/>
        <w:jc w:val="left"/>
      </w:pPr>
      <w:r>
        <w:rPr>
          <w:rFonts w:ascii="Arial" w:cs="Arial" w:eastAsia="Arial" w:hAnsi="Arial"/>
          <w:color w:val="000000"/>
          <w:sz w:val="20"/>
          <w:szCs w:val="20"/>
        </w:rPr>
        <w:t xml:space="preserve">Build a follow-up prompt. Two new projects are being considered for Q1: (a) a UPI 2.0 Merchant Integration (needs 3 Platform + 2 DevOps FTEs for 3 months), and (b) a Credit Scorecard API Rebuild (needs 2 Data + 1 Mobile FTE for 4 months). Ask Copilot to identify capacity gaps and recommend feasibility.</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role — Technology PMO analyst, capacity planning context.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Based on the Q1 capacity summary above, assess whether BFL can resource two new projects in Q1 FY26 and identify any capacity gaps.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Project A: UPI 2.0 Merchant Integration — needs 3 Platform Engineering + 2 DevOps FTEs for Q1 (3 months). Project B: Credit Scorecard API Rebuild — needs 2 Data &amp; Analytics + 1 Mobile/Web FTE for 4 months. Consider constraints: Rajan cannot be moved, new joiners available mid-June only, shared DevOps resources cannot be exclusively committed.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Section 1: Capacity gap analysis — table by squad showing available vs required for each project. Section 2: Feasibility verdict for each project (Feasible / Amber / Not Feasible with reason). Section 3: Recommended options if there are gaps (e.g. defer, phase, hire, contract resource).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Direct and decisive — written as a recommendation, not a list of observations. CTO needs to make a resourcing decision.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Capacity Gap and Feasibility Assessment</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2"/>
                <w:szCs w:val="22"/>
              </w:rPr>
              <w:t xml:space="preserve">POST-SESSION EXERCISE PS-3</w:t>
            </w:r>
          </w:p>
          <w:p>
            <w:pPr>
              <w:spacing w:after="60" w:before="80"/>
              <w:jc w:val="left"/>
            </w:pPr>
            <w:r>
              <w:rPr>
                <w:rFonts w:ascii="Arial" w:cs="Arial" w:eastAsia="Arial" w:hAnsi="Arial"/>
                <w:b/>
                <w:bCs/>
                <w:color w:val="FFFFFF"/>
                <w:sz w:val="26"/>
                <w:szCs w:val="26"/>
              </w:rPr>
              <w:t xml:space="preserve">Payments Modernisation — Change Request Assessment</w:t>
            </w:r>
          </w:p>
          <w:p>
            <w:pPr>
              <w:spacing w:after="60" w:before="80"/>
              <w:jc w:val="left"/>
            </w:pPr>
            <w:r>
              <w:rPr>
                <w:rFonts w:ascii="Arial" w:cs="Arial" w:eastAsia="Arial" w:hAnsi="Arial"/>
                <w:color w:val="D6E4F7"/>
                <w:sz w:val="20"/>
                <w:szCs w:val="20"/>
              </w:rPr>
              <w:t xml:space="preserve">30 minutes  │  Individual  │  Complete independently at your desk</w:t>
            </w:r>
          </w:p>
          <w:p>
            <w:pPr>
              <w:spacing w:after="80" w:before="80"/>
              <w:jc w:val="left"/>
            </w:pPr>
            <w:r>
              <w:rPr>
                <w:rFonts w:ascii="Arial" w:cs="Arial" w:eastAsia="Arial" w:hAnsi="Arial"/>
                <w:color w:val="D6E4F7"/>
                <w:sz w:val="18"/>
                <w:szCs w:val="18"/>
              </w:rPr>
              <w:t xml:space="preserve">Skill: Scope change analysis + impact assessment + governance decision brief</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a PMO analyst on BFL's Payments Modernisation Programme — a 12-month initiative to modernise BFL's payment processing infrastructure, including real-time payment rails, UPI integration, and settlement reconciliation automation. Currently at Month 7.</w:t>
            </w:r>
          </w:p>
          <w:p>
            <w:pPr>
              <w:spacing w:after="40" w:before="80"/>
              <w:jc w:val="left"/>
            </w:pPr>
            <w:r>
              <w:rPr>
                <w:rFonts w:ascii="Arial" w:cs="Arial" w:eastAsia="Arial" w:hAnsi="Arial"/>
                <w:color w:val="000000"/>
                <w:sz w:val="20"/>
                <w:szCs w:val="20"/>
              </w:rPr>
              <w:t xml:space="preserve">A significant change request (CR) has been raised mid-programme: the Treasury team wants to add multi-currency settlement capability — not in the original scope. The Programme Director has asked you to produce a change request impact assessment and a governance decision brief for the next Change Control Board (CCB) meeting.</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Change Request CR-007: Multi-Currency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Field</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Details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 Number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CR-007</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Change Title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Multi-Currency Settlement Capability — INR, USD, EUR, GBP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Requested By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Treasury Operations (Kavya R, Head of Treasury)</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Date Raised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10 April 2025</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Programme Phase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Month 7 of 12</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Change Description</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Add real-time multi-currency settlement processing to the new payments infrastructure. Treasury currently handles multi-currency manually via batch processes — this change would automate it within the new system.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Business Case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Reduces manual settlement reconciliation from 4 hours to under 30 minutes. Enables BFL to process international remittances and cross-border business payments — projected 15% revenue uplift in commercial banking segment.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Effort Estimate (Tech Lead)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4–6 months additional effort for multi-currency engine, FX rate feed integration, and regulatory reporting for FEMA compliance.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Budget Impact (Preliminary)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INR 1.8–2.4 Cr additional spend (estimate range; firm estimate needs 2 weeks of analysis).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Schedule Impact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If approved and started now, programme would extend from Month 12 to Month 17–18. Programme go-live date would shift from October 2025 to March–April 2026.</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Risks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FEMA (Foreign Exchange Management Act) compliance reporting is a new regulatory dimension not covered in the current programme. Risk team has not assessed this. Integration with RBI's RTGS/NEFT/IMPS systems may need rework for multi-currency. 2 of 5 existing payment processors do not support multi-currency — require replacement or upgrade.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PMO Preliminary View</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Significant scope change. Programme timeline impact is material. Business case requires validation. Not recommended for inclusion without full business case review and risk assessment.</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Change Request Impact Assessment (15 min)</w:t>
      </w:r>
    </w:p>
    <w:p>
      <w:pPr>
        <w:spacing w:after="80" w:before="80"/>
        <w:jc w:val="left"/>
      </w:pPr>
      <w:r>
        <w:rPr>
          <w:rFonts w:ascii="Arial" w:cs="Arial" w:eastAsia="Arial" w:hAnsi="Arial"/>
          <w:color w:val="000000"/>
          <w:sz w:val="20"/>
          <w:szCs w:val="20"/>
        </w:rPr>
        <w:t xml:space="preserve">Build a prompt to produce a structured change request impact assessment from the CR-007 data above. The assessment will go to the Programme Director before the CCB meeting.</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Technology PMO context — who prepares a formal change request impact assessment for a programme governance board?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Produce a structured change request impact assessment for CR-007 — Multi-Currency Settlement Capability.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Payments Modernisation Programme, Month 7 of 12. Change adds multi-currency settlement not in original scope. Key dimensions: 4–6 months additional effort, INR 1.8–2.4 Cr additional cost, 5–6 month schedule slip, new FEMA regulatory dimension, 2 payment processors may need replacement. Programme go-live moves October 2025 → March-April 2026.</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Sections: (1) Change Summary — 2 sentences; (2) Impact Assessment — table: Dimension (Schedule/Budget/Scope/Risk/Resource) / Current Baseline / Change Impact / Severity (High/Medium/Low); (3) Risk Analysis — 3 bullet risks; (4) PMO Recommendation — 1 short paragraph.</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Analytical and recommendation-ready — this is an internal governance document. Factual, precise, no promotional language about the change's benefits.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Change Request Impact Assessment</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Governance Decision Brief for CCB (15 min)</w:t>
      </w:r>
    </w:p>
    <w:p>
      <w:pPr>
        <w:spacing w:after="80" w:before="80"/>
        <w:jc w:val="left"/>
      </w:pPr>
      <w:r>
        <w:rPr>
          <w:rFonts w:ascii="Arial" w:cs="Arial" w:eastAsia="Arial" w:hAnsi="Arial"/>
          <w:color w:val="000000"/>
          <w:sz w:val="20"/>
          <w:szCs w:val="20"/>
        </w:rPr>
        <w:t xml:space="preserve">Build a follow-up prompt to produce a governance decision brief for the Change Control Board — structured to support a formal decision: Approve / Approve with Conditions / Reject / Defer.</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33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Guiding Hint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role — Technology PMO analyst. You are preparing a decision brief for a formal governance body.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Draft a governance decision brief for the Change Control Board for CR-007.</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CCB members: CTO (chair), Programme Director, CFO representative, Head of Treasury (change requestor), Compliance Lead. The CCB must decide: Approve / Approve with Conditions / Reject / Defer. PMO's recommendation is "not recommended without full business case and risk assessment."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Sections: (1) Change Summary — 1 para; (2) Business Case Summary — benefits and financial case; (3) Impact Summary — table (schedule, budget, scope, risk); (4) Key Risks — 3 bullets; (5) Options for CCB Consideration — table: Option / Implication / Recommended; (6) Decision Required.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Board-appropriate, formal, and objective — presents both the business case and the risks neutrally; the PMO recommendation is stated clearly but the brief enables the board to decide, not just to endorse the PMO view.</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CCB Governance Decision Brief</w:t>
            </w:r>
          </w:p>
          <w:p>
            <w:pPr>
              <w:spacing w:after="80" w:before="80"/>
              <w:jc w:val="left"/>
            </w:pPr>
            <w:r>
              <w:rPr>
                <w:rFonts w:ascii="Arial" w:cs="Arial" w:eastAsia="Arial" w:hAnsi="Arial"/>
                <w:color w:val="666666"/>
                <w:sz w:val="18"/>
                <w:szCs w:val="18"/>
              </w:rPr>
              <w:t xml:space="preserve">Write your assembled prompt here:</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center"/>
    </w:pPr>
    <w:r>
      <w:rPr>
        <w:rFonts w:ascii="Arial" w:cs="Arial" w:eastAsia="Arial" w:hAnsi="Arial"/>
        <w:color w:val="888888"/>
        <w:sz w:val="16"/>
        <w:szCs w:val="16"/>
      </w:rPr>
      <w:t xml:space="preserve">Bajaj Finance Limited  |  AI Academy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pPr>
    <w:r>
      <w:rPr>
        <w:rFonts w:ascii="Arial" w:cs="Arial" w:eastAsia="Arial" w:hAnsi="Arial"/>
        <w:color w:val="888888"/>
        <w:sz w:val="16"/>
        <w:szCs w:val="16"/>
      </w:rPr>
      <w:t xml:space="preserve">AI for Business — Technology PMO  |  Post-Session Practice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2026-05-26T19:43:46.350Z</dcterms:created>
  <dcterms:modified xsi:type="dcterms:W3CDTF">2026-05-26T19:43:46.350Z</dcterms:modified>
</cp:coreProperties>
</file>

<file path=docProps/custom.xml><?xml version="1.0" encoding="utf-8"?>
<Properties xmlns="http://schemas.openxmlformats.org/officeDocument/2006/custom-properties" xmlns:vt="http://schemas.openxmlformats.org/officeDocument/2006/docPropsVTypes"/>
</file>