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714B67"/>
          <w:sz w:val="72"/>
          <w:szCs w:val="72"/>
        </w:rPr>
        <w:t xml:space="preserve">نظام الراية الزرقاء</w:t>
      </w:r>
    </w:p>
    <w:p>
      <w:pPr>
        <w:pBdr>
          <w:bottom w:val="single" w:color="017E84" w:sz="8"/>
        </w:pBdr>
        <w:spacing w:after="200" w:before="100"/>
        <w:jc w:val="center"/>
      </w:pPr>
      <w:r>
        <w:rPr>
          <w:rFonts w:ascii="Arial" w:cs="Arial" w:eastAsia="Arial" w:hAnsi="Arial"/>
          <w:b w:val="false"/>
          <w:bCs w:val="false"/>
          <w:color w:val="017E84"/>
          <w:sz w:val="36"/>
          <w:szCs w:val="36"/>
        </w:rPr>
        <w:t xml:space="preserve">النظام المحاسبي المتكامل لشركات المولدات الكهربائية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دليل التوثيق الشامل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714B67"/>
          <w:sz w:val="48"/>
          <w:szCs w:val="48"/>
        </w:rPr>
        <w:t xml:space="preserve">v27</w:t>
      </w:r>
    </w:p>
    <w:p>
      <w:pPr>
        <w:spacing w:after="100" w:before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21 مايو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فريق التطوير — شركة الراية الزرقاء</w:t>
      </w:r>
    </w:p>
    <w:p>
      <w:r>
        <w:br w:type="page"/>
      </w:r>
    </w:p>
    <w:sdt>
      <w:sdtPr>
        <w:alias w:val="فهرس المحتويات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714B67"/>
          <w:sz w:val="36"/>
          <w:szCs w:val="36"/>
        </w:rPr>
        <w:t xml:space="preserve">الفصل الأول: نظرة عامة على النظام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1.1 مقدمة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نظام الراية الزرقاء هو نظام محاسبي متكامل مبني بتقنية الويب (Single-Page Application) مخصص لشركات بيع وصيانة المولدات الكهربائية في العراق. يعتمد النظام المحاسبي الموحد العراقي الصادر عن وزارة المالية 2011.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1.2 المواصفات التقنية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503"/>
        <w:gridCol w:w="4503"/>
      </w:tblGrid>
      <w:tr>
        <w:trPr>
          <w:tblHeader/>
        </w:trP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المواصفة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القيمة</w:t>
            </w:r>
          </w:p>
        </w:tc>
      </w:tr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نوع التطبيق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Single-Page Application (HTML/CSS/JavaScript)</w:t>
            </w:r>
          </w:p>
        </w:tc>
      </w:tr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المتصفح المدعوم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Chromium / Chrome / Edge</w:t>
            </w:r>
          </w:p>
        </w:tc>
      </w:tr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الخادم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المنفذ الافتراضي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3333</w:t>
            </w:r>
          </w:p>
        </w:tc>
      </w:tr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الاتجاه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RTL (يمين إلى يسار)</w:t>
            </w:r>
          </w:p>
        </w:tc>
      </w:tr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اللغة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العربية</w:t>
            </w:r>
          </w:p>
        </w:tc>
      </w:tr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المسار الرئيسي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D:\raya_blue\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1.3 مبادئ التصميم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القيد المزدوج: كل عملية مالية تولد قيداً متوازناً (مدين = دائن)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النظام المحاسبي العراقي: المجموعة 1 موجودات | 2 مطلوبات | 3 استخدامات | 4 إيرادات | 5-9 خاصة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RBAC: نظام صلاحيات متدرج (مشاهدة / إنشاء / تعديل / حذف)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البيانات الحية: جميع الأرقام تُحسب من JOURNAL_ENTRIES_DATA في الوقت الفعلي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714B67"/>
          <w:sz w:val="36"/>
          <w:szCs w:val="36"/>
        </w:rPr>
        <w:t xml:space="preserve">الفصل الثاني: هيكل النظام والمكونات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2.1 ملفات النظام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4200"/>
        <w:gridCol w:w="20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الحجم التقريبي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raya_odoo.html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التطبيق الكامل (HTML + CSS + JS)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~932 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خادم Node.js + API PostgreSQL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~23 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تبعيات Node.js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db_schema.sql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مخطط قاعدة البيانات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~196 KB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2.2 قواعد البيانات في الذاكرة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0"/>
        <w:gridCol w:w="60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المتغير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JOURNAL_ENTRIES_DATA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جميع القيود المحاسبية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CUSTOMERS_DB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بيانات الزبائن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SUPPLIERS_DB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بيانات المجهزين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MAINT_DB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طلبات الصيانة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INV_ITEMS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أصناف المخزون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PAYROLL_RECORDS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سجلات الرواتب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INSTALLMENTS_DB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خطط الأقساط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بيانات الموظفين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ACCOUNTS_DB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شجرة الحسابات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WF_ORDERS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أوامر سير العمل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2.3 دورة حفظ البيانات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المستخدم يُدخل البيانات → يضغط حفظ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دالة JS تتحقق من الصحة (validation)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البيانات تُضاف للمصفوفة في الذاكرة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saveToStorage() → localStorage (raya_blue_v10)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_syncToServer() → POST /api/data → PostgreSQL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714B67"/>
          <w:sz w:val="36"/>
          <w:szCs w:val="36"/>
        </w:rPr>
        <w:t xml:space="preserve">الفصل الثالث: وحدات النظام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3.1 وحدة المحاسبة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الصفحات: شجرة الحسابات — القيد اليومي — دفتر الأستاذ — ميزان المراجعة — قائمة الدخل — الميزانية العمومية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714B67"/>
          <w:sz w:val="24"/>
          <w:szCs w:val="24"/>
        </w:rPr>
        <w:t xml:space="preserve">القيود التلقائية المُنشأة بالنظام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2"/>
        <w:gridCol w:w="3002"/>
        <w:gridCol w:w="3002"/>
      </w:tblGrid>
      <w:tr>
        <w:trPr>
          <w:tblHeader/>
        </w:trP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العملية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مدين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دائن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بيع بالكاش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1611 الصندوق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4111 إيرادات المبيعات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بيع آجل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151 الذمم المدينة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4111 إيرادات المبيعات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قبض نقدي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1611 الصندوق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151 الذمم المدينة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قبض إلكتروني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1621 البنك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151 الذمم المدينة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رواتب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5311 مصروف الرواتب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2241 رواتب مستحقة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صيانة مكتملة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5131 مواد الصيانة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1611 الصندوق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تسوية مخزون (+)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1511 المخزون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5999 تسوية مخزون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تسوية مخزون (-)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5999 تسوية مخزون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1511 المخزون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3.2 وحدة المبيعات والزبائن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saveSale(): حفظ فاتورة بيع مع إنشاء قيد محاسبي تلقائي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saveReceipt(): حفظ وصل قبض مع قيد مدين/دائن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printSaleInvoice(id): طباعة فاتورة مبيعات فردية بتنسيق احترافي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showCustStatement(id): عرض كشف حساب الزبون الكامل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3.3 وحدة المخزون والمشتريات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saveStockIn(): استلام مخزون + تحديث الكمية + قيد محاسبي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saveInvAdjustment(): تسوية جرد مع قيد تسوية تلقائي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renderLowStock(): عرض الأصناف دون الحد الأدنى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3.4 وحدة الصيانة والضمانات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2"/>
        <w:gridCol w:w="3002"/>
        <w:gridCol w:w="3002"/>
      </w:tblGrid>
      <w:tr>
        <w:trPr>
          <w:tblHeader/>
        </w:trP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الطلب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قيد مالي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corrective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صيانة تصحيحية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يُنشأ عند الإغلاق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preventive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صيانة وقائية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اختياري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warranty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ضمان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لا يُنشأ قيد مالي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عقد صيانة سنوي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حسب العقد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3.5 وحدة الموارد البشرية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جدول الموظفين وصافي الرواتب (+ 10% بدل حضور):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3000"/>
        <w:gridCol w:w="2500"/>
        <w:gridCol w:w="25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الكود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الراتب الأساسي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صافي الراتب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حسين علي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850,000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كريم محمد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850,000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سارة أحمد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1,200,000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1,320,000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عمر يوسف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950,000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1,045,000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نور إبراهيم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750,000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المجموع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4,600,000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5,060,000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714B67"/>
          <w:sz w:val="36"/>
          <w:szCs w:val="36"/>
        </w:rPr>
        <w:t xml:space="preserve">الفصل الرابع: نظام الصلاحيات (RBAC)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4.1 المستخدمون الافتراضيون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2000"/>
        <w:gridCol w:w="2000"/>
        <w:gridCol w:w="30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المستخدم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كلمة المرور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الصلاحيات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مدير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كامل — جميع الوحدات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محاسب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محاسبة + تقارير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مبيعات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مبيعات + زبائن + صيانة (عرض)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مشاهد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عرض فقط بدون تعديل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4.2 مصفوفة صلاحيات مستخدم المبيعات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الوحدة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مشاهدة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إنشاء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تعديل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حذف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المبيعات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الزبائن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الصيانة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المحاسبة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الموارد البشرية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المشتريات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4.3 آلية التحقق من الصلاحيات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دالة go(page) تتحقق من currentUser.perms[module].view قبل تفعيل الصفحة. عند الرفض: تظهر إشعار خطر "لا تملك صلاحية..." ولا تُفعّل الصفحة.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714B67"/>
          <w:sz w:val="36"/>
          <w:szCs w:val="36"/>
        </w:rPr>
        <w:t xml:space="preserve">الفصل الخامس: الميزات الجديدة (v27)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5.1 وضع الظلام (Dark Mode)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زر 🌙 في الشريط العلوي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يُفعّل CSS class "dark-mode" على body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متغيرات CSS مخصصة: خلفية #1a1a2e، بطاقات #16213e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يُحفظ في localStorage ويُستعاد عند التحميل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الدالة: toggleDarkMode() / initDarkMode()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5.2 البحث العالمي (Ctrl+K)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اختصار لوحة مفاتيح: Ctrl+K أو زر 🔍 في الشريط العلوي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نافذة منبثقة بحث في: الزبائن، المجهزين، الصيانة، القيود المحاسبية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يُغلق بـ Escape أو النقر خارج النافذة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5.3 Badges الديناميكية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2"/>
        <w:gridCol w:w="3500"/>
        <w:gridCol w:w="2504"/>
      </w:tblGrid>
      <w:tr>
        <w:trPr>
          <w:tblHeader/>
        </w:trP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المصدر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معرف HTML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الصيانة المفتوحة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MAINT_DB.filter(status==='open').length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badge-maintenance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الأقساط المتأخرة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INSTALLMENTS_DB.filter(dueDate &lt; today)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badge-installments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المخزون المنخفض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INV_ITEMS.filter(qty &lt; min).length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badge-low-stock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5.4 طباعة فاتورة المبيعات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زر 🖸️ في كل سطر بفواتير المبيعات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يفتح نافذة طباعة HTML منسّقة بالعربية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يتضمن: بيانات الشركة، رقم الفاتورة، التاريخ، الزبون، البنود، الإجمالي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الدالة: printSaleInvoice(entryId)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5.5 تنبيهات المواعيد النهائية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تُشغَّل تلقائياً عند DOMContentLoaded بعد 2 ثانية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أقساط متأخرة (dueDate &lt; today)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ضمانات تنتهي خلال 30 يوم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عقود سنوية تنتهي خلال 30 يوم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5.6 مرفقات الصيانة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زر 📎 في كل طلب صيانة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رفع صور (image/*) وملفات PDF / Word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الحد الأقصى للحجم: 2 ميغابايت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التخزين: base64 في MAINT_DB[].attachments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714B67"/>
          <w:sz w:val="36"/>
          <w:szCs w:val="36"/>
        </w:rPr>
        <w:t xml:space="preserve">الفصل السادس: الإصلاحات التقنية (v27 — 12 إصلاح)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6.1 إصلاحات حفظ البيانات (5 إصلاحات)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00"/>
        <w:gridCol w:w="2500"/>
        <w:gridCol w:w="3200"/>
        <w:gridCol w:w="27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رقم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الدالة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saveJVNew()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القيود تظهر لكن لا تُحفظ في JOURNAL_ENTRIES_DATA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إضافة منطق تجميع السطور + التحقق من التوازن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saveReceipt()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وصل القبض بدون قيد محاسبي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إنشاء قيد 1611/1621 + 151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saveInvAdjustment()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لا تُعدّل qty ولا تُنشئ قيد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تحديث inv.qty + قيد ADJ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saveToStorage()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INV_ITEMS لا يُحفظ في localStorage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إضافة invItems لـ payload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confirmOrder()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لا يُضيف إلى WF_ORDERS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+ saveToStorage()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6.2 إصلاحات الوظائف المفقودة (7 إصلاحات)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00"/>
        <w:gridCol w:w="4000"/>
        <w:gridCol w:w="44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رقم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saveWarranty() مفقودة كلياً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تمت إضافتها + IDs للنموذج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saveAnnualContract() مفقودة كلياً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تمت إضافتها + IDs للنموذج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saveStockIn() + selects مشفّرة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إعادة كتابة كاملة + selects ديناميكية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سطور HTML معلّقة بعد m-installment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تمت إزالتها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adj-item select لا يُملأ من INV_ITEMS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renderAdjItemSelect() مربوطة بـ openM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no-customer select لا يُملأ من CUSTOMERS_DB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renderOrderCustomerSelect() مربوطة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completeMaint() لا تُنشئ قيداً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إضافة قيد 5131/1611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714B67"/>
          <w:sz w:val="36"/>
          <w:szCs w:val="36"/>
        </w:rPr>
        <w:t xml:space="preserve">الفصل السابع: الاختبارات التلقائية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7.1 مجموعة الاختبارات العميقة (TC_DEEP_001-010)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 اختبارات Playwright E2E تغطي الوظائف الجوهرية — جميعها تجتاز بنجاح.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3000"/>
        <w:gridCol w:w="36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الكود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يختبره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TC_DEEP_001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Balanced Journal Entry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إنشاء قيد متوازن والتحقق من الحفظ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TC_DEEP_002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Customer And Verify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إضافة زبون والتحقق من CUSTOMERS_DB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TC_DEEP_003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Inventory Item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إضافة صنف مع qty/cost/price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TC_DEEP_004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Maintenance Request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إنشاء طلب صيانة بالحالة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TC_DEEP_005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 Unbalanced Error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قيد غير متوازن + بيان فارغ → خطأ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TC_DEEP_006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Supplier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إضافة مجهز بجميع الحقول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TC_DEEP_007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 Calculation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صحة حساب الرواتب + قيد 5311/2241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TC_DEEP_008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 Sales User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مستخدم مبيعات محجوب عن المحاسبة/HR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TC_DEEP_009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Trial Balance Equation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مجموع مدين = مجموع دائن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TC_DEEP_010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Complete Journal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completeMaint → قيد 5131/1611 متوازن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7.2 متطلبات تشغيل الاختبارات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3.12+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 install playwright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playwright install chromium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خادم Node.js يعمل على المنفذ 3333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PYTHONIOENCODING=utf-8 python TC_DEEP_001_Create_Balanced_Journal_Entry.py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714B67"/>
          <w:sz w:val="36"/>
          <w:szCs w:val="36"/>
        </w:rPr>
        <w:t xml:space="preserve">الفصل الثامن: دليل التشغيل والصيانة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8.1 تشغيل النظام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فتح موجه الأوامر في D:\raya_blue\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تشغيل الخادم: node server.js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فتح المتصفح: http://localhost:3333/raya_odoo.html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تسجيل الدخول: admin / 123456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8.2 النسخ الاحتياطي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تلقائي: يتزامن مع PostgreSQL عبر _syncToServer() بعد كل تغيير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يدوي: زر 💾 في الشريط العلوي → يُنزّل ملف JSON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استعادة: إعدادات النظام → استعادة من نسخة احتياطية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8.3 متغيرات البيئة (server.js)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500"/>
        <w:gridCol w:w="2500"/>
        <w:gridCol w:w="40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المتغير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القيمة الافتراضية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4B6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3333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منفذ الخادم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localhost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عنوان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منفذ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raya_db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اسم قاعدة البيانات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مستخدم قاعدة البيانات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Ihsaan.1997@@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كلمة المرور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714B67"/>
          <w:sz w:val="36"/>
          <w:szCs w:val="36"/>
        </w:rPr>
        <w:t xml:space="preserve">الفصل التاسع: خارطة الطريق المستقبلية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9.1 ميزات مقترحة للإصدارات القادمة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تدفق النقد (Cash Flow Statement)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إدارة الضرائب والقيمة المضافة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ربط بارزودة البنك (Bank Reconciliation)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تقارير مقارنة بين الفترات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دعم العملات الأجنبية (USD / EUR)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تطبيق موبايل (PWA)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نسخة متعددة الفروع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خارجي للتكامل مع أنظمة أخرى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17E84"/>
          <w:sz w:val="28"/>
          <w:szCs w:val="28"/>
        </w:rPr>
        <w:t xml:space="preserve">9.2 تحسينات الأداء المقترحة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Virtual scrolling للجداول الكبيرة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IndexedDB بدلاً من localStorage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Worker للعمل بدون إنترنت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ضغط بيانات localStorage</w:t>
      </w:r>
    </w:p>
    <w:p>
      <w:pPr>
        <w:pBdr>
          <w:bottom w:val="single" w:color="714B67" w:sz="6"/>
        </w:pBdr>
        <w:spacing w:after="160" w:before="16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714B67"/>
          <w:sz w:val="24"/>
          <w:szCs w:val="24"/>
        </w:rPr>
        <w:t xml:space="preserve">نهاية الوثيقة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شركة الراية الزرقاء — جميع الحقوق محفوظة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17E84" w:sz="4"/>
      </w:pBdr>
      <w:bidi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صفحة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من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—  الراية الزرقاء v27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14B67" w:sz="4"/>
      </w:pBdr>
      <w:bidi/>
      <w:jc w:val="right"/>
    </w:pPr>
    <w:r>
      <w:rPr>
        <w:rFonts w:ascii="Arial" w:cs="Arial" w:eastAsia="Arial" w:hAnsi="Arial"/>
        <w:b/>
        <w:bCs/>
        <w:color w:val="714B67"/>
        <w:sz w:val="18"/>
        <w:szCs w:val="18"/>
      </w:rPr>
      <w:t xml:space="preserve">نظام الراية الزرقاء</w:t>
    </w:r>
    <w:r>
      <w:rPr>
        <w:rFonts w:ascii="Arial" w:cs="Arial" w:eastAsia="Arial" w:hAnsi="Arial"/>
        <w:color w:val="888888"/>
        <w:sz w:val="16"/>
        <w:szCs w:val="16"/>
      </w:rPr>
      <w:t xml:space="preserve">  —  النظام المحاسبي المتكامل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righ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righ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60" w:before="360"/>
      <w:outlineLvl w:val="0"/>
    </w:pPr>
    <w:rPr>
      <w:rFonts w:ascii="Arial" w:cs="Arial" w:eastAsia="Arial" w:hAnsi="Arial"/>
      <w:b/>
      <w:bCs/>
      <w:color w:val="714B67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20" w:before="240"/>
      <w:outlineLvl w:val="1"/>
    </w:pPr>
    <w:rPr>
      <w:rFonts w:ascii="Arial" w:cs="Arial" w:eastAsia="Arial" w:hAnsi="Arial"/>
      <w:b/>
      <w:bCs/>
      <w:color w:val="017E84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after="80" w:before="180"/>
      <w:outlineLvl w:val="2"/>
    </w:pPr>
    <w:rPr>
      <w:rFonts w:ascii="Arial" w:cs="Arial" w:eastAsia="Arial" w:hAnsi="Arial"/>
      <w:b/>
      <w:bCs/>
      <w:color w:val="714B6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2026-05-21T18:44:03.767Z</dcterms:created>
  <dcterms:modified xsi:type="dcterms:W3CDTF">2026-05-21T18:44:03.768Z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