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40" w:before="57" w:after="57"/>
        <w:jc w:val="center"/>
        <w:rPr>
          <w:rFonts w:ascii="Times New Roman" w:hAnsi="Times New Roman"/>
        </w:rPr>
      </w:pPr>
      <w:r>
        <w:rPr>
          <w:rFonts w:ascii="Times New Roman" w:hAnsi="Times New Roman"/>
          <w:b/>
          <w:bCs/>
          <w:sz w:val="32"/>
          <w:szCs w:val="32"/>
        </w:rPr>
        <w:t>Brendon Matusch</w:t>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40"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40" w:before="57" w:after="57"/>
        <w:rPr>
          <w:rFonts w:ascii="Times New Roman" w:hAnsi="Times New Roman"/>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 Machine learning systems may also locate patterns in the data that can be used for discrimination, but are not readily apparent to researchers.</w:t>
      </w:r>
    </w:p>
    <w:p>
      <w:pPr>
        <w:pStyle w:val="Normal"/>
        <w:spacing w:lineRule="auto" w:line="240"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40" w:before="57" w:after="57"/>
        <w:rPr>
          <w:rFonts w:ascii="Times New Roman" w:hAnsi="Times New Roman"/>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40"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40"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designed to detect the presence of WIMPs in the mass range of 3.3keV and above. It operates on the expectation that WIMPs will interact with atomic nuclei through the weak nuclear force, transmitting kinetic energy to them and producing energetic recoils.</w:t>
      </w:r>
    </w:p>
    <w:p>
      <w:pPr>
        <w:pStyle w:val="Normal"/>
        <w:spacing w:lineRule="auto" w:line="240" w:before="57" w:after="57"/>
        <w:rPr>
          <w:rFonts w:ascii="Times New Roman" w:hAnsi="Times New Roman"/>
        </w:rPr>
      </w:pPr>
      <w:r>
        <w:rPr>
          <w:rFonts w:ascii="Times New Roman" w:hAnsi="Times New Roman"/>
          <w:b w:val="false"/>
          <w:bCs w:val="false"/>
          <w:sz w:val="24"/>
          <w:szCs w:val="24"/>
        </w:rPr>
        <w:t>It is engineered to be almost entirely insensitive to gamma rays and many other forms of low-energy radiation. Thus, there are two remaining sources of background radiation:</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Externally introduced neutrons, which are hypothesized to produce nuclear recoils identical to those created by WIMPs. However, unlike WIMPs, most neutrons scatter multiple times, producing multiple bubbles. A very small number of neutrons producing single-scatter events remain, and can be subtracted from the number of WIMP-like events detected.</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Alpha particles, which are emitted by nuclear decays inside the detector. These can be detected using a discriminator.</w:t>
      </w:r>
    </w:p>
    <w:p>
      <w:pPr>
        <w:pStyle w:val="Normal"/>
        <w:spacing w:lineRule="auto" w:line="240" w:before="57" w:after="57"/>
        <w:rPr>
          <w:rFonts w:ascii="Times New Roman" w:hAnsi="Times New Roman"/>
        </w:rPr>
      </w:pPr>
      <w:r>
        <w:rPr>
          <w:rFonts w:ascii="Times New Roman" w:hAnsi="Times New Roman"/>
          <w:b w:val="false"/>
          <w:bCs w:val="false"/>
          <w:sz w:val="24"/>
          <w:szCs w:val="24"/>
        </w:rPr>
        <w:t>Because alpha events occur inside the detector, they cannot be easily removed by ignoring events near the walls of the detector. For development of discriminators, there is an available set of 99%-pure alpha background events collected in 2016 and 2017.</w:t>
      </w:r>
    </w:p>
    <w:p>
      <w:pPr>
        <w:pStyle w:val="Normal"/>
        <w:spacing w:lineRule="auto" w:line="240" w:before="57" w:after="57"/>
        <w:rPr>
          <w:rFonts w:ascii="Times New Roman" w:hAnsi="Times New Roman"/>
        </w:rPr>
      </w:pPr>
      <w:r>
        <w:rPr>
          <w:rFonts w:ascii="Times New Roman" w:hAnsi="Times New Roman"/>
          <w:b w:val="false"/>
          <w:bCs w:val="false"/>
          <w:sz w:val="24"/>
          <w:szCs w:val="24"/>
        </w:rPr>
        <w:t>Since WIMPs have never been detected, there is of course no WIMP data available to calibrate discriminators. However, as WIMPs are hypothesized to produce nuclear recoils indistinguishable from those created by neutrons, a 90%-pure calibration set created with americium and californium neutron sources is used for development.</w:t>
      </w:r>
    </w:p>
    <w:p>
      <w:pPr>
        <w:pStyle w:val="Normal"/>
        <w:spacing w:lineRule="auto" w:line="240"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40" w:before="57" w:after="57"/>
        <w:rPr>
          <w:rFonts w:ascii="Times New Roman" w:hAnsi="Times New Roman"/>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 It makes use of a banded Fourier transform of audio collected by the piezos.</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AP, a multi-layer perceptron was trained on the data during past research and found to discriminate between alpha particles and nuclear recoils with 85% accuracy.</w:t>
      </w:r>
    </w:p>
    <w:p>
      <w:pPr>
        <w:pStyle w:val="Normal"/>
        <w:spacing w:lineRule="auto" w:line="240" w:before="57" w:after="57"/>
        <w:rPr>
          <w:b/>
          <w:b/>
          <w:bCs/>
        </w:rPr>
      </w:pPr>
      <w:r>
        <w:rPr>
          <w:rFonts w:ascii="Times New Roman" w:hAnsi="Times New Roman"/>
          <w:b/>
          <w:bCs/>
          <w:sz w:val="24"/>
          <w:szCs w:val="24"/>
        </w:rPr>
        <w:t>DEAP-3600</w:t>
      </w:r>
    </w:p>
    <w:p>
      <w:pPr>
        <w:pStyle w:val="Normal"/>
        <w:spacing w:lineRule="auto" w:line="240"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40"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40" w:before="57" w:after="57"/>
        <w:rPr>
          <w:rFonts w:ascii="Times New Roman" w:hAnsi="Times New Roman"/>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t>Once again, a conventional discriminator was developed by the DEAP-3600 collaboration. Because there is a high degree of statistical randomness in the distribution of photons in the detector, it is not possible to discriminate nearly as accurately as is the case in the PICO-60 experiment. The best performance achieved so far is removal of 90% of neck events alongside 50% of other events.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40"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40"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40" w:before="57" w:after="57"/>
        <w:rPr>
          <w:rFonts w:ascii="Times New Roman" w:hAnsi="Times New Roman"/>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40" w:before="57" w:after="57"/>
        <w:rPr>
          <w:rFonts w:ascii="Times New Roman" w:hAnsi="Times New Roman"/>
        </w:rPr>
      </w:pPr>
      <w:r>
        <w:rPr>
          <w:rFonts w:ascii="Times New Roman" w:hAnsi="Times New Roman"/>
          <w:b/>
          <w:bCs/>
          <w:sz w:val="24"/>
          <w:szCs w:val="24"/>
        </w:rPr>
        <w:t>PICO-60</w:t>
      </w:r>
    </w:p>
    <w:p>
      <w:pPr>
        <w:pStyle w:val="Normal"/>
        <w:spacing w:lineRule="auto" w:line="240"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40"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40"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40" w:before="57" w:after="57"/>
        <w:rPr/>
      </w:pPr>
      <w:r>
        <w:rPr>
          <w:rFonts w:ascii="Times New Roman" w:hAnsi="Times New Roman"/>
          <w:b w:val="false"/>
          <w:bCs w:val="false"/>
          <w:sz w:val="24"/>
          <w:szCs w:val="24"/>
        </w:rPr>
        <w:t>Dropout and L2 regularization</w:t>
      </w:r>
    </w:p>
    <w:p>
      <w:pPr>
        <w:pStyle w:val="Normal"/>
        <w:numPr>
          <w:ilvl w:val="0"/>
          <w:numId w:val="2"/>
        </w:numPr>
        <w:spacing w:lineRule="auto" w:line="240"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40" w:before="57" w:after="57"/>
        <w:rPr/>
      </w:pPr>
      <w:r>
        <w:rPr>
          <w:rFonts w:ascii="Times New Roman" w:hAnsi="Times New Roman"/>
          <w:b w:val="false"/>
          <w:bCs w:val="false"/>
          <w:sz w:val="24"/>
          <w:szCs w:val="24"/>
        </w:rPr>
        <w:t>Number and size of convolutional filters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these hyperparameters will be optimized using grid searches, in which a discrete search space is defined for each hyperparameter, and every possible combination of hyperparameter values within their respective search spaces is tested. Each configuration will be tested multiple times so that variations in the randomly selected validation set will have minimal effect.</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40"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40"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40" w:before="57" w:after="57"/>
        <w:rPr>
          <w:rFonts w:ascii="Times New Roman" w:hAnsi="Times New Roman"/>
        </w:rPr>
      </w:pPr>
      <w:r>
        <w:rPr>
          <w:rFonts w:ascii="Times New Roman" w:hAnsi="Times New Roman"/>
          <w:b/>
          <w:bCs/>
        </w:rPr>
        <w:t>DEAP-3600</w:t>
      </w:r>
    </w:p>
    <w:p>
      <w:pPr>
        <w:pStyle w:val="Normal"/>
        <w:spacing w:lineRule="auto" w:line="240"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40"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40"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40"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40"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40" w:before="57" w:after="57"/>
        <w:rPr>
          <w:rFonts w:ascii="Times New Roman" w:hAnsi="Times New Roman"/>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40"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rPr>
          <w:rFonts w:ascii="Times New Roman" w:hAnsi="Times New Roman"/>
        </w:rPr>
      </w:pPr>
      <w:r>
        <w:rPr>
          <w:rFonts w:ascii="Times New Roman" w:hAnsi="Times New Roman"/>
          <w:b/>
          <w:bCs/>
        </w:rPr>
        <w:t>Implementation Details</w:t>
      </w:r>
    </w:p>
    <w:p>
      <w:pPr>
        <w:pStyle w:val="Normal"/>
        <w:spacing w:lineRule="auto" w:line="240" w:before="57" w:after="57"/>
        <w:rPr>
          <w:rFonts w:ascii="Times New Roman" w:hAnsi="Times New Roman"/>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 performance of machine learning discriminators will be measured using four metrics: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Precision: the proportion of events classified as background that are actually background events. High precision means that the events the discriminator classifies as background events are very pure (that is, very few signal events are incorrectly removed).</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Recall: the number of background events that are classified as background. High recall means that almost all background events are removed, and that there are very few of them remaining in the set of predicted signal events.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Class-wise standard deviation (CWSD): the mean of the standard deviations of network predictions on the sets of background and signal events individually. This represents the confidence of the network. Even if accuracy is high, the predictions of the network (decimal numbers from 0 to 1) may be spread out. Low CWSD means that the network’s predictions are tightly clustered near 0 and 1, which is desirable because it means there are few events for which the network’s predictions are questionable.</w:t>
      </w:r>
    </w:p>
    <w:p>
      <w:pPr>
        <w:pStyle w:val="Normal"/>
        <w:spacing w:lineRule="auto" w:line="240" w:before="57" w:after="57"/>
        <w:rPr>
          <w:rFonts w:ascii="Times New Roman" w:hAnsi="Times New Roman"/>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discriminator are used for comparison.</w:t>
      </w:r>
    </w:p>
    <w:p>
      <w:pPr>
        <w:pStyle w:val="Normal"/>
        <w:spacing w:lineRule="auto" w:line="240" w:before="57" w:after="57"/>
        <w:rPr>
          <w:rFonts w:ascii="Times New Roman" w:hAnsi="Times New Roman"/>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discriminator is not available. Thus, AP is used to validate the predictions of the network, but only the impure classifications given by the calibration runs are used for training data.</w:t>
      </w:r>
    </w:p>
    <w:p>
      <w:pPr>
        <w:pStyle w:val="Normal"/>
        <w:spacing w:lineRule="auto" w:line="240" w:before="57" w:after="57"/>
        <w:rPr>
          <w:rFonts w:ascii="Times New Roman" w:hAnsi="Times New Roman"/>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pPr>
      <w:r>
        <w:rPr>
          <w:rFonts w:ascii="Times New Roman" w:hAnsi="Times New Roman"/>
          <w:b/>
          <w:bCs/>
          <w:sz w:val="32"/>
          <w:szCs w:val="32"/>
        </w:rPr>
        <w:t>Risk and Safety</w:t>
      </w:r>
    </w:p>
    <w:p>
      <w:pPr>
        <w:pStyle w:val="Normal"/>
        <w:spacing w:lineRule="auto" w:line="240"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Bibliography</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Kiefer, J. and J. Wolfowitz. “Stochastic Estimation of the Maximum of a Regression Function". </w:t>
      </w:r>
      <w:r>
        <w:rPr>
          <w:rFonts w:ascii="Times New Roman" w:hAnsi="Times New Roman"/>
          <w:i/>
          <w:iCs/>
          <w:sz w:val="24"/>
          <w:szCs w:val="24"/>
        </w:rPr>
        <w:t>Ann. Math. Statist.</w:t>
      </w:r>
      <w:r>
        <w:rPr>
          <w:rFonts w:ascii="Times New Roman" w:hAnsi="Times New Roman"/>
          <w:sz w:val="24"/>
          <w:szCs w:val="24"/>
        </w:rPr>
        <w:t xml:space="preserve"> 23.3 (Sept. 1952): 462-466.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Brun, Rene and Fons Rademakers. “ROOT - An Object Oriented Data Analysis Framework". </w:t>
      </w:r>
      <w:r>
        <w:rPr>
          <w:rFonts w:ascii="Times New Roman" w:hAnsi="Times New Roman"/>
          <w:i/>
          <w:iCs/>
          <w:sz w:val="24"/>
          <w:szCs w:val="24"/>
        </w:rPr>
        <w:t>AIHENP '96 Workshop, Lausanne.</w:t>
      </w:r>
      <w:r>
        <w:rPr>
          <w:rFonts w:ascii="Times New Roman" w:hAnsi="Times New Roman"/>
          <w:sz w:val="24"/>
          <w:szCs w:val="24"/>
        </w:rPr>
        <w:t xml:space="preserve"> 1996. 81-86. http://root.cern.ch/.</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Hunter, J. D. “Matplotlib: A 2D graphics environment". </w:t>
      </w:r>
      <w:r>
        <w:rPr>
          <w:rFonts w:ascii="Times New Roman" w:hAnsi="Times New Roman"/>
          <w:i/>
          <w:iCs/>
          <w:sz w:val="24"/>
          <w:szCs w:val="24"/>
        </w:rPr>
        <w:t>Computing In Science &amp; Engineering</w:t>
      </w:r>
      <w:r>
        <w:rPr>
          <w:rFonts w:ascii="Times New Roman" w:hAnsi="Times New Roman"/>
          <w:sz w:val="24"/>
          <w:szCs w:val="24"/>
        </w:rPr>
        <w:t xml:space="preserve"> 9.3 (2007): 90-95. Print. </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Pedregosa, F., et al. Scikit-learn: “Machine Learning in Python". </w:t>
      </w:r>
      <w:r>
        <w:rPr>
          <w:rFonts w:ascii="Times New Roman" w:hAnsi="Times New Roman"/>
          <w:i/>
          <w:iCs/>
          <w:sz w:val="24"/>
          <w:szCs w:val="24"/>
        </w:rPr>
        <w:t>Journal of Machine Learning Research</w:t>
      </w:r>
      <w:r>
        <w:rPr>
          <w:rFonts w:ascii="Times New Roman" w:hAnsi="Times New Roman"/>
          <w:sz w:val="24"/>
          <w:szCs w:val="24"/>
        </w:rPr>
        <w:t xml:space="preserve"> 12 (2011): 2825-2830. Print. </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Kingma, Diederik P. and Jimmy Ba. “Adam: A Method for Stochastic Optimization". </w:t>
      </w:r>
      <w:r>
        <w:rPr>
          <w:rFonts w:ascii="Times New Roman" w:hAnsi="Times New Roman"/>
          <w:i/>
          <w:iCs/>
          <w:sz w:val="24"/>
          <w:szCs w:val="24"/>
        </w:rPr>
        <w:t>CoRR</w:t>
      </w:r>
      <w:r>
        <w:rPr>
          <w:rFonts w:ascii="Times New Roman" w:hAnsi="Times New Roman"/>
          <w:sz w:val="24"/>
          <w:szCs w:val="24"/>
        </w:rPr>
        <w:t xml:space="preserve"> abs/1412.6980 (2014). arXiv: 1412.6980.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Van der Walt, Stefan, et al. “scikit-image: image processing in Python". </w:t>
      </w:r>
      <w:r>
        <w:rPr>
          <w:rFonts w:ascii="Times New Roman" w:hAnsi="Times New Roman"/>
          <w:i/>
          <w:iCs/>
          <w:sz w:val="24"/>
          <w:szCs w:val="24"/>
        </w:rPr>
        <w:t>PeerJ</w:t>
      </w:r>
      <w:r>
        <w:rPr>
          <w:rFonts w:ascii="Times New Roman" w:hAnsi="Times New Roman"/>
          <w:sz w:val="24"/>
          <w:szCs w:val="24"/>
        </w:rPr>
        <w:t xml:space="preserve"> 2 (June 2014): e453.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Dai, Wei, et al. “Very Deep Convolutional Neural Networks for Raw Waveforms". </w:t>
      </w:r>
      <w:r>
        <w:rPr>
          <w:rFonts w:ascii="Times New Roman" w:hAnsi="Times New Roman"/>
          <w:i/>
          <w:iCs/>
          <w:sz w:val="24"/>
          <w:szCs w:val="24"/>
        </w:rPr>
        <w:t>CoRR</w:t>
      </w:r>
      <w:r>
        <w:rPr>
          <w:rFonts w:ascii="Times New Roman" w:hAnsi="Times New Roman"/>
          <w:sz w:val="24"/>
          <w:szCs w:val="24"/>
        </w:rPr>
        <w:t xml:space="preserve"> abs/1610.00087 (2016). arXiv: 1610.00087. Web.</w:t>
      </w:r>
    </w:p>
    <w:p>
      <w:pPr>
        <w:pStyle w:val="Normal"/>
        <w:numPr>
          <w:ilvl w:val="0"/>
          <w:numId w:val="8"/>
        </w:numPr>
        <w:spacing w:lineRule="auto" w:line="240" w:before="57" w:after="57"/>
        <w:jc w:val="left"/>
        <w:rPr/>
      </w:pPr>
      <w:r>
        <w:rPr>
          <w:rFonts w:ascii="Times New Roman" w:hAnsi="Times New Roman"/>
          <w:sz w:val="24"/>
          <w:szCs w:val="24"/>
        </w:rPr>
        <w:t xml:space="preserve">Amole, C., et al. “Dark Matter Search Results from the PICO 60 C3 F8 Bubble Chamber". </w:t>
      </w:r>
      <w:r>
        <w:rPr>
          <w:rFonts w:ascii="Times New Roman" w:hAnsi="Times New Roman"/>
          <w:i/>
          <w:iCs/>
          <w:sz w:val="24"/>
          <w:szCs w:val="24"/>
        </w:rPr>
        <w:t>Phys. Rev. Lett.</w:t>
      </w:r>
      <w:r>
        <w:rPr>
          <w:rFonts w:ascii="Times New Roman" w:hAnsi="Times New Roman"/>
          <w:sz w:val="24"/>
          <w:szCs w:val="24"/>
        </w:rPr>
        <w:t xml:space="preserve"> 118 (25 June 2017): 251301. Web.</w:t>
      </w:r>
    </w:p>
    <w:sectPr>
      <w:headerReference w:type="default" r:id="rId2"/>
      <w:type w:val="nextPage"/>
      <w:pgSz w:w="12240" w:h="15840"/>
      <w:pgMar w:left="1304" w:right="1304" w:header="737" w:top="1303" w:footer="0" w:bottom="13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 xml:space="preserve">Brendon Matusch – Page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ascii="Times New Roman" w:hAnsi="Times New Roman"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Times New Roman" w:hAnsi="Times New Roman"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491</TotalTime>
  <Application>LibreOffice/6.0.6.2$Linux_X86_64 LibreOffice_project/00m0$Build-2</Application>
  <Pages>6</Pages>
  <Words>3097</Words>
  <Characters>16410</Characters>
  <CharactersWithSpaces>19401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2018-11-17T09:19:44Z</dcterms:modified>
  <cp:revision>115</cp:revision>
  <dc:subject/>
  <dc:title/>
</cp:coreProperties>
</file>