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Innovation Grant Request — $10,000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21"/>
          <w:szCs w:val="21"/>
        </w:rPr>
        <w:t xml:space="preserve">Expeditionary Medical Knowledge Assistant (EMKA) · Phase 0 Prototype</w:t>
      </w:r>
    </w:p>
    <w:p>
      <w:pPr>
        <w:pBdr>
          <w:bottom w:val="single" w:color="C7C7C7" w:sz="6" w:space="1"/>
        </w:pBdr>
        <w:spacing w:after="220" w:before="160"/>
      </w:pPr>
      <w:r>
        <w:rPr>
          <w:rFonts w:ascii="Calibri" w:cs="Calibri" w:eastAsia="Calibri" w:hAnsi="Calibri"/>
          <w:color w:val="1A1A1A"/>
          <w:sz w:val="2"/>
          <w:szCs w:val="2"/>
        </w:rPr>
        <w:t xml:space="preserve"/>
      </w:r>
    </w:p>
    <w:p>
      <w:pPr>
        <w:spacing w:after="60" w:line="260"/>
      </w:pPr>
      <w:r>
        <w:rPr>
          <w:rFonts w:ascii="Calibri" w:cs="Calibri" w:eastAsia="Calibri" w:hAnsi="Calibri"/>
          <w:b/>
          <w:bCs/>
          <w:color w:val="5A5A5A"/>
          <w:sz w:val="20"/>
          <w:szCs w:val="20"/>
        </w:rPr>
        <w:t xml:space="preserve">To: 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[Innovation program POC / DHA J-9 / MHS innovation inbox]</w:t>
      </w:r>
    </w:p>
    <w:p>
      <w:pPr>
        <w:spacing w:after="60" w:line="260"/>
      </w:pPr>
      <w:r>
        <w:rPr>
          <w:rFonts w:ascii="Calibri" w:cs="Calibri" w:eastAsia="Calibri" w:hAnsi="Calibri"/>
          <w:b/>
          <w:bCs/>
          <w:color w:val="5A5A5A"/>
          <w:sz w:val="20"/>
          <w:szCs w:val="20"/>
        </w:rPr>
        <w:t xml:space="preserve">Cc: 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[Commanding Officer, 1st Medical Battalion] · [1st MLG Surgeon] · [I MEF Surgeon]</w:t>
      </w:r>
    </w:p>
    <w:p>
      <w:pPr>
        <w:spacing w:after="200" w:line="260"/>
      </w:pPr>
      <w:r>
        <w:rPr>
          <w:rFonts w:ascii="Calibri" w:cs="Calibri" w:eastAsia="Calibri" w:hAnsi="Calibri"/>
          <w:b/>
          <w:bCs/>
          <w:color w:val="5A5A5A"/>
          <w:sz w:val="20"/>
          <w:szCs w:val="20"/>
        </w:rPr>
        <w:t xml:space="preserve">Subject: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Innovation Grant Request — $10,000: Delivering Knowledge at the Point of Care in DDIL Environments</w:t>
      </w:r>
    </w:p>
    <w:p>
      <w:pPr>
        <w:pBdr>
          <w:bottom w:val="single" w:color="C7C7C7" w:sz="6" w:space="1"/>
        </w:pBdr>
        <w:spacing w:after="220" w:before="160"/>
      </w:pPr>
      <w:r>
        <w:rPr>
          <w:rFonts w:ascii="Calibri" w:cs="Calibri" w:eastAsia="Calibri" w:hAnsi="Calibri"/>
          <w:color w:val="1A1A1A"/>
          <w:sz w:val="2"/>
          <w:szCs w:val="2"/>
        </w:rPr>
        <w:t xml:space="preserve"/>
      </w:r>
    </w:p>
    <w:p>
      <w:pPr>
        <w:spacing w:after="150" w:before="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[Salutation],</w:t>
      </w:r>
    </w:p>
    <w:p>
      <w:pPr>
        <w:spacing w:after="150" w:before="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 am requesting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$10,000 in [program name] innovation funds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for a 90-day prototype of the Expeditionary Medical Knowledge Assistant (EMKA), an air-gapped, PHI-free clinical reference system for deployed use. The case is best made through the data–information–knowledge–wisdom progression.</w:t>
      </w:r>
    </w:p>
    <w:p>
      <w:pPr>
        <w:spacing w:after="150" w:before="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 already own the data.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Joint Trauma System clinical practice guidelines, CoTCCC guidelines, VA/DoD CPGs, and the NTTP 4-02 series total thousands of pages the Department has already funded and published. Sitting on a hard drive, they are inert.</w:t>
      </w:r>
    </w:p>
    <w:p>
      <w:pPr>
        <w:spacing w:after="150" w:before="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Structure turns data into information.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EMKA ingests those publications into a citation-indexed corpus — every paragraph tagged with its publication, edition, authority tier, and page.</w:t>
      </w:r>
    </w:p>
    <w:p>
      <w:pPr>
        <w:spacing w:after="150" w:before="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Retrieval turns information into knowledge.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 corpsman asks a plain-language question and receives, in under 30 seconds and with no network connection, the passage that answers it: quoted verbatim, machine-verified against the source, and cited to the page. Not a list of search results to work through — the answer, with its proof attached.</w:t>
      </w:r>
    </w:p>
    <w:p>
      <w:pPr>
        <w:spacing w:after="150" w:before="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Wisdom remains with the clinician.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The system does not decide. It puts the right knowledge in front of the person who does, inside the window where it still changes the outcome.</w:t>
      </w:r>
    </w:p>
    <w:p>
      <w:pPr>
        <w:spacing w:after="150" w:before="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gap in deployed medicine is not knowledge. It is access to knowledge under EMCON, bandwidth denial, and MASCAL time pressure. This closes it.</w:t>
      </w:r>
    </w:p>
    <w:p>
      <w:pPr>
        <w:spacing w:after="180" w:before="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Estimated expenditures:</w:t>
      </w:r>
    </w:p>
    <w:tbl>
      <w:tblPr>
        <w:tblW w:type="dxa" w:w="9360"/>
        <w:tblBorders>
          <w:top w:val="single" w:color="C7C7C7" w:sz="4"/>
          <w:left w:val="single" w:color="C7C7C7" w:sz="4"/>
          <w:bottom w:val="single" w:color="C7C7C7" w:sz="4"/>
          <w:right w:val="single" w:color="C7C7C7" w:sz="4"/>
          <w:insideH w:val="single" w:color="C7C7C7" w:sz="4"/>
          <w:insideV w:val="single" w:color="C7C7C7" w:sz="4"/>
        </w:tblBorders>
      </w:tblPr>
      <w:tblGrid>
        <w:gridCol w:w="4100"/>
        <w:gridCol w:w="1160"/>
        <w:gridCol w:w="4100"/>
      </w:tblGrid>
      <w:tr>
        <w:trPr>
          <w:tblHeader/>
        </w:trPr>
        <w:tc>
          <w:tcPr>
            <w:tcW w:type="dxa" w:w="4100"/>
            <w:shd w:fill="E8EC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Item</w:t>
            </w:r>
          </w:p>
        </w:tc>
        <w:tc>
          <w:tcPr>
            <w:tcW w:type="dxa" w:w="1160"/>
            <w:shd w:fill="E8EC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Estimate</w:t>
            </w:r>
          </w:p>
        </w:tc>
        <w:tc>
          <w:tcPr>
            <w:tcW w:type="dxa" w:w="4100"/>
            <w:shd w:fill="E8EC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Tier 2 compute appliance — 128 GB unified-memory x86 mini-workstation</w:t>
            </w:r>
          </w:p>
        </w:tc>
        <w:tc>
          <w:tcPr>
            <w:tcW w:type="dxa" w:w="1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$4,800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5A5A5A"/>
                <w:sz w:val="19"/>
                <w:szCs w:val="19"/>
              </w:rPr>
              <w:t xml:space="preserve">Role 2 / planning cell configuration</w:t>
            </w:r>
          </w:p>
        </w:tc>
      </w:tr>
      <w:tr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Tier 1 edge module — 64 GB embedded AI module</w:t>
            </w:r>
          </w:p>
        </w:tc>
        <w:tc>
          <w:tcPr>
            <w:tcW w:type="dxa" w:w="1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$2,000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5A5A5A"/>
                <w:sz w:val="19"/>
                <w:szCs w:val="19"/>
              </w:rPr>
              <w:t xml:space="preserve">Role 1 / BAS configuration; sub-1 kg, battery-operable</w:t>
            </w:r>
          </w:p>
        </w:tc>
      </w:tr>
      <w:tr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Storage and corpus media — 4 TB NVMe plus write-once media</w:t>
            </w:r>
          </w:p>
        </w:tc>
        <w:tc>
          <w:tcPr>
            <w:tcW w:type="dxa" w:w="1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$450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5A5A5A"/>
                <w:sz w:val="19"/>
                <w:szCs w:val="19"/>
              </w:rPr>
              <w:t xml:space="preserve">Corpus, models, and signed update packages</w:t>
            </w:r>
          </w:p>
        </w:tc>
      </w:tr>
      <w:tr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Isolated network kit and transit case</w:t>
            </w:r>
          </w:p>
        </w:tc>
        <w:tc>
          <w:tcPr>
            <w:tcW w:type="dxa" w:w="1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$600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5A5A5A"/>
                <w:sz w:val="19"/>
                <w:szCs w:val="19"/>
              </w:rPr>
              <w:t xml:space="preserve">Wired only; no WAN hardware procured</w:t>
            </w:r>
          </w:p>
        </w:tc>
      </w:tr>
      <w:tr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Tactical power validation kit — 300 Wh bank, inverter, watt meter</w:t>
            </w:r>
          </w:p>
        </w:tc>
        <w:tc>
          <w:tcPr>
            <w:tcW w:type="dxa" w:w="1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$450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5A5A5A"/>
                <w:sz w:val="19"/>
                <w:szCs w:val="19"/>
              </w:rPr>
              <w:t xml:space="preserve">Measures runtime on field power</w:t>
            </w:r>
          </w:p>
        </w:tc>
      </w:tr>
      <w:tr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Field client device — ruggedized tablet</w:t>
            </w:r>
          </w:p>
        </w:tc>
        <w:tc>
          <w:tcPr>
            <w:tcW w:type="dxa" w:w="1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$1,000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5A5A5A"/>
                <w:sz w:val="19"/>
                <w:szCs w:val="19"/>
              </w:rPr>
              <w:t xml:space="preserve">Point-of-care interface testing</w:t>
            </w:r>
          </w:p>
        </w:tc>
      </w:tr>
      <w:tr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Consumables and contingency</w:t>
            </w:r>
          </w:p>
        </w:tc>
        <w:tc>
          <w:tcPr>
            <w:tcW w:type="dxa" w:w="1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$700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5A5A5A"/>
                <w:sz w:val="19"/>
                <w:szCs w:val="19"/>
              </w:rPr>
              <w:t xml:space="preserve">7%</w:t>
            </w:r>
          </w:p>
        </w:tc>
      </w:tr>
      <w:tr>
        <w:tc>
          <w:tcPr>
            <w:tcW w:type="dxa" w:w="4100"/>
            <w:shd w:fill="E8EC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1160"/>
            <w:shd w:fill="E8EC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$10,000</w:t>
            </w:r>
          </w:p>
        </w:tc>
        <w:tc>
          <w:tcPr>
            <w:tcW w:type="dxa" w:w="4100"/>
            <w:shd w:fill="E8EC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150" w:before="22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software stack is already built and entirely open-source; no licensing, labor, or recurring costs are requested. I can demonstrate the working prototype in person or by VTC at your convenience.</w:t>
      </w:r>
    </w:p>
    <w:p>
      <w:pPr>
        <w:spacing w:after="220" w:before="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Very respectfully,</w:t>
      </w:r>
    </w:p>
    <w:p>
      <w:pPr>
        <w:spacing w:after="20" w:before="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Brian S. Ford, CDR, MC, USN</w:t>
      </w:r>
    </w:p>
    <w:p>
      <w:pPr>
        <w:spacing w:after="20" w:before="0" w:line="264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Chief Medical Officer, 1st Medical Battalion, 1st Marine Logistics Group, I MEF</w:t>
      </w:r>
    </w:p>
    <w:p>
      <w:pPr>
        <w:spacing w:after="180" w:before="0" w:line="264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[phone] · [email]</w:t>
      </w:r>
    </w:p>
    <w:p>
      <w:pPr>
        <w:spacing w:after="150" w:before="0" w:line="264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Attachment: EMKA Capability Concept Paper (HSOAG)</w:t>
      </w:r>
    </w:p>
    <w:p>
      <w:pPr>
        <w:pBdr>
          <w:bottom w:val="single" w:color="C7C7C7" w:sz="6" w:space="1"/>
        </w:pBdr>
        <w:spacing w:after="220" w:before="160"/>
      </w:pPr>
      <w:r>
        <w:rPr>
          <w:rFonts w:ascii="Calibri" w:cs="Calibri" w:eastAsia="Calibri" w:hAnsi="Calibri"/>
          <w:color w:val="1A1A1A"/>
          <w:sz w:val="2"/>
          <w:szCs w:val="2"/>
        </w:rPr>
        <w:t xml:space="preserve"/>
      </w:r>
    </w:p>
    <w:p>
      <w:pPr>
        <w:spacing w:after="150" w:before="0" w:line="264"/>
      </w:pPr>
      <w:r>
        <w:rPr>
          <w:rFonts w:ascii="Calibri" w:cs="Calibri" w:eastAsia="Calibri" w:hAnsi="Calibri"/>
          <w:b/>
          <w:bCs/>
          <w:color w:val="5A5A5A"/>
          <w:sz w:val="19"/>
          <w:szCs w:val="19"/>
        </w:rPr>
        <w:t xml:space="preserve">Before you send: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fill in program name and POC, cc line, salutation, and phone/email. The budget is deliberately equipment-only — no labor, no travel — because most awards at this level prohibit salary. If your solicitation permits SME time or exercise travel, that is the highest-value place to reallocate.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Innovation Grant Request — EMKA ($10,000)</dc:title>
  <dc:creator>CDR Brian S. Ford, MC, USN</dc:creator>
  <dc:description>Pitch email and estimated expenditures for a $10,000 innovation award.</dc:description>
  <cp:lastModifiedBy>Un-named</cp:lastModifiedBy>
  <cp:revision>1</cp:revision>
  <dcterms:created xsi:type="dcterms:W3CDTF">2026-08-06T22:12:27.316Z</dcterms:created>
  <dcterms:modified xsi:type="dcterms:W3CDTF">2026-08-06T22:12:27.329Z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