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Ongoing Professional Practice Evaluation (OPPE)</w:t>
      </w:r>
    </w:p>
    <w:p>
      <w:r>
        <w:rPr>
          <w:b/>
          <w:sz w:val="28"/>
        </w:rPr>
        <w:t>Provider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NAME"/>
                <w:tag w:val="PROVIDER_NAME"/>
                <w:id w:val="1018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Rank / Grade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RANK"/>
                <w:tag w:val="PROVIDER_RANK"/>
                <w:id w:val="1019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Specialty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SPECIALTY"/>
                <w:tag w:val="PROVIDER_SPECIALTY"/>
                <w:id w:val="1020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DEPARTMENT"/>
                <w:tag w:val="PROVIDER_DEPARTMENT"/>
                <w:id w:val="1021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Privileging status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ROVIDER_PRIVSTATUS"/>
                <w:tag w:val="PROVIDER_PRIVSTATUS"/>
                <w:id w:val="1022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Review period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PERIOD_RANGE"/>
                <w:tag w:val="PERIOD_RANGE"/>
                <w:id w:val="1023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b/>
          <w:sz w:val="28"/>
        </w:rPr>
        <w:t>Section III —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III.F  % incomplete notes &gt; 3 business days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OPPE_IIIF"/>
                <w:tag w:val="OPPE_IIIF"/>
                <w:id w:val="1024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b/>
          <w:sz w:val="28"/>
        </w:rPr>
        <w:t>Section IV — Clinical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IV.D  Appropriate blood / blood component use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OPPE_IVD"/>
                <w:tag w:val="OPPE_IVD"/>
                <w:id w:val="1025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IV.E  Appropriate medication use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OPPE_IVE"/>
                <w:tag w:val="OPPE_IVE"/>
                <w:id w:val="1026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IV.F  Medical record pertinence review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OPPE_IVF"/>
                <w:tag w:val="OPPE_IVF"/>
                <w:id w:val="1027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IV.G  Medical record OPPE review (# reviewed)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OPPE_IVG"/>
                <w:tag w:val="OPPE_IVG"/>
                <w:id w:val="1028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IV.H  Medical record OPPE review (# deficient)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OPPE_IVH"/>
                <w:tag w:val="OPPE_IVH"/>
                <w:id w:val="1029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b/>
          <w:sz w:val="28"/>
        </w:rPr>
        <w:t>Section V — Specialty specific quality indicators</w:t>
      </w:r>
    </w:p>
    <w:p>
      <w:r>
        <w:rPr>
          <w:i/>
          <w:sz w:val="16"/>
        </w:rPr>
        <w:t>Minimum two per OPPE period.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 1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OPPE_V"/>
                <w:tag w:val="OPPE_V"/>
                <w:id w:val="1030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Indicator 2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OPPE_V_2"/>
                <w:tag w:val="OPPE_V_2"/>
                <w:id w:val="1031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b/>
          <w:sz w:val="28"/>
        </w:rPr>
        <w:t>Review basis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Qualifying peer reviews completed in period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REVIEW_COUNT"/>
                <w:tag w:val="REVIEW_COUNT"/>
                <w:id w:val="1032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Review floor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REVIEW_FLOOR"/>
                <w:tag w:val="REVIEW_FLOOR"/>
                <w:id w:val="1033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  <w:tr>
        <w:tc>
          <w:tcPr>
            <w:tcW w:type="dxa" w:w="4320"/>
          </w:tcPr>
          <w:p>
            <w:r>
              <w:t>Cross-specialty reviews (not counted toward floor)</w:t>
            </w:r>
          </w:p>
        </w:tc>
        <w:tc>
          <w:tcPr>
            <w:tcW w:type="dxa" w:w="4320"/>
          </w:tcPr>
          <w:p>
            <w:sdt>
              <w:sdtPr>
                <w:rPr>
                  <w:color w:val="A80000"/>
                </w:rPr>
                <w:alias w:val="XSPEC_COUNT"/>
                <w:tag w:val="XSPEC_COUNT"/>
                <w:id w:val="1034"/>
                <w:text/>
              </w:sdtPr>
              <w:sdtContent>
                <w:r>
                  <w:rPr>
                    <w:color w:val="A80000"/>
                  </w:rPr>
                  <w:t xml:space="preserve">[VERIFY]</w:t>
                </w:r>
              </w:sdtContent>
            </w:sdt>
          </w:p>
        </w:tc>
      </w:tr>
    </w:tbl>
    <w:p/>
    <w:p>
      <w:r>
        <w:rPr>
          <w:b/>
          <w:sz w:val="28"/>
        </w:rPr>
        <w:t>Standards assessed</w:t>
      </w:r>
    </w:p>
    <w:p>
      <w:sdt>
        <w:sdtPr>
          <w:rPr>
            <w:color w:val="A80000"/>
          </w:rPr>
          <w:alias w:val="STANDARDS_TABLE_OPPE"/>
          <w:tag w:val="STANDARDS_TABLE_OPPE"/>
          <w:id w:val="1035"/>
          <w:text/>
        </w:sdtPr>
        <w:sdtContent>
          <w:r>
            <w:rPr>
              <w:color w:val="A80000"/>
            </w:rPr>
            <w:t xml:space="preserve">[VERIFY] standards table</w:t>
          </w:r>
        </w:sdtContent>
      </w:sdt>
    </w:p>
    <w:p>
      <w:r>
        <w:rPr>
          <w:i/>
          <w:sz w:val="16"/>
        </w:rPr>
        <w:t>Standards in DRAFT-VALIDATE status are excluded from this document. They are answered during review and shown on the dashboard, but do not appear here until a Clinical Leader has validated them.</w:t>
      </w:r>
    </w:p>
    <w:p>
      <w:r>
        <w:rPr>
          <w:b/>
          <w:sz w:val="28"/>
        </w:rP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Stage</w:t>
            </w:r>
          </w:p>
        </w:tc>
        <w:tc>
          <w:tcPr>
            <w:tcW w:type="dxa" w:w="2160"/>
            <w:shd w:fill="D9D9D9"/>
          </w:tcPr>
          <w:p>
            <w:r>
              <w:t>Name</w:t>
            </w:r>
          </w:p>
        </w:tc>
        <w:tc>
          <w:tcPr>
            <w:tcW w:type="dxa" w:w="2160"/>
            <w:shd w:fill="D9D9D9"/>
          </w:tcPr>
          <w:p>
            <w:r>
              <w:t>Signature</w:t>
            </w:r>
          </w:p>
        </w:tc>
        <w:tc>
          <w:tcPr>
            <w:tcW w:type="dxa" w:w="2160"/>
            <w:shd w:fill="D9D9D9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Provider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Peer / Proctor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CRC Chair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Department Head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  <w:color w:val="7A0F0F"/>
        <w:sz w:val="16"/>
      </w:rPr>
      <w:t>CUI // Medical Quality Assurance Program document protected pursuant to 10 U.S.C. § 1102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7A0F0F"/>
        <w:sz w:val="16"/>
      </w:rPr>
      <w:t>CUI // Medical Quality Assurance Program document protected pursuant to 10 U.S.C. § 1102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